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13.08.2020 N 1011</w:t>
              <w:br/>
              <w:t xml:space="preserve">(ред. от 27.02.2023)</w:t>
              <w:br/>
              <w:t xml:space="preserve">"Об утверждении федерального государственного образовательного стандарта высшего образования - бакалавриат по направлению подготовки 40.03.01 Юриспруденция"</w:t>
              <w:br/>
              <w:t xml:space="preserve">(Зарегистрировано в Минюсте России 07.09.2020 N 59673)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jc w:val="both"/>
      </w:pPr>
      <w:r>
        <w:rPr>
          <w:sz w:val="20"/>
        </w:rPr>
        <w:t xml:space="preserve">Зарегистрировано в Минюсте России 7 сентября 2020 г. N 59673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НАУКИ И ВЫСШЕГО ОБРАЗОВАНИЯ</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13 августа 2020 г. N 1011</w:t>
      </w:r>
    </w:p>
    <w:p>
      <w:pPr>
        <w:pStyle w:val="2"/>
        <w:ind w:firstLine="540"/>
        <w:jc w:val="both"/>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40.03.01 ЮРИСПРУДЕНЦИЯ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8"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19.07.2022 </w:t>
            </w:r>
            <w:hyperlink w:history="0" r:id="rId9"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0"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1"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подпунктом 4.2.38 пункта 4.2</w:t>
        </w:r>
      </w:hyperlink>
      <w:r>
        <w:rPr>
          <w:sz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2020, N 13, ст. 1944), и </w:t>
      </w:r>
      <w:hyperlink w:history="0" r:id="rId12"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9" w:tooltip="ФЕДЕРАЛЬНЫЙ ГОСУДАРСТВЕННЫЙ ОБРАЗОВАТЕЛЬНЫЙ СТАНДАРТ">
        <w:r>
          <w:rPr>
            <w:sz w:val="20"/>
            <w:color w:val="0000ff"/>
          </w:rPr>
          <w:t xml:space="preserve">стандарт</w:t>
        </w:r>
      </w:hyperlink>
      <w:r>
        <w:rPr>
          <w:sz w:val="20"/>
        </w:rPr>
        <w:t xml:space="preserve"> высшего образования - бакалавриат по направлению подготовки 40.03.01 Юриспруденция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высшего образования вправе осуществлять в соответствии со </w:t>
      </w:r>
      <w:hyperlink w:history="0" w:anchor="P39"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3" w:tooltip="Приказ Минобрнауки России от 01.12.2016 N 1511 (ред. от 11.01.2018) &quot;Об утверждении федерального государственного образовательного стандарта высшего образования по направлению подготовки 40.03.01 Юриспруденция (уровень бакалавриата)&quot; (Зарегистрировано в Минюсте России 29.12.2016 N 45038) {КонсультантПлюс}">
        <w:r>
          <w:rPr>
            <w:sz w:val="20"/>
            <w:color w:val="0000ff"/>
          </w:rPr>
          <w:t xml:space="preserve">стандартом</w:t>
        </w:r>
      </w:hyperlink>
      <w:r>
        <w:rPr>
          <w:sz w:val="20"/>
        </w:rPr>
        <w:t xml:space="preserve"> высшего образования по направлению подготовки 40.03.01 Юриспруденция (уровень бакалавриата), утвержденным приказом Министерства образования и науки Российской Федерации от 1 декабря 2016 г. N 1511 (зарегистрирован Министерством юстиции Российской Федерации 29 декабря 2016 г., регистрационный N 45038), с изменениями, внесенными приказами Министерства образования и науки Российской Федерации от 13 июля 2017 г. N 653 (зарегистрирован Министерством юстиции Российской Федерации 7 августа 2017 г., регистрационный N 47703) и от 11 января 2018 г. N 28 (зарегистрирован Министерством юстиции Российской Федерации 1 февраля 2018 г., регистрационный N 49867), прекращается 31 декабря 2020 года.</w:t>
      </w:r>
    </w:p>
    <w:p>
      <w:pPr>
        <w:pStyle w:val="0"/>
        <w:jc w:val="both"/>
      </w:pPr>
      <w:r>
        <w:rPr>
          <w:sz w:val="20"/>
        </w:rPr>
      </w:r>
    </w:p>
    <w:p>
      <w:pPr>
        <w:pStyle w:val="0"/>
        <w:jc w:val="right"/>
      </w:pPr>
      <w:r>
        <w:rPr>
          <w:sz w:val="20"/>
        </w:rPr>
        <w:t xml:space="preserve">Врио Министра</w:t>
      </w:r>
    </w:p>
    <w:p>
      <w:pPr>
        <w:pStyle w:val="0"/>
        <w:jc w:val="right"/>
      </w:pPr>
      <w:r>
        <w:rPr>
          <w:sz w:val="20"/>
        </w:rPr>
        <w:t xml:space="preserve">А.В.НАРУКАВНИКОВ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от 13 августа 2020 г. N 1011</w:t>
      </w:r>
    </w:p>
    <w:p>
      <w:pPr>
        <w:pStyle w:val="0"/>
        <w:jc w:val="both"/>
      </w:pPr>
      <w:r>
        <w:rPr>
          <w:sz w:val="20"/>
        </w:rPr>
      </w:r>
    </w:p>
    <w:bookmarkStart w:id="39" w:name="P39"/>
    <w:bookmarkEnd w:id="39"/>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40.03.01 ЮРИСПРУДЕНЦИЯ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14"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19.07.2022 </w:t>
            </w:r>
            <w:hyperlink w:history="0" r:id="rId15"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6"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40.03.01 Юриспруденция (далее соответственно - программа бакалавриата, направление подготовки).</w:t>
      </w:r>
    </w:p>
    <w:p>
      <w:pPr>
        <w:pStyle w:val="0"/>
        <w:spacing w:before="200" w:lineRule="auto"/>
        <w:ind w:firstLine="540"/>
        <w:jc w:val="both"/>
      </w:pPr>
      <w:r>
        <w:rPr>
          <w:sz w:val="20"/>
        </w:rPr>
        <w:t xml:space="preserve">1.2. Получение образования по программе бакалавриата допускается только в образовательной организации высшего образования (далее - Организация).</w:t>
      </w:r>
    </w:p>
    <w:p>
      <w:pPr>
        <w:pStyle w:val="0"/>
        <w:spacing w:before="200" w:lineRule="auto"/>
        <w:ind w:firstLine="540"/>
        <w:jc w:val="both"/>
      </w:pPr>
      <w:r>
        <w:rPr>
          <w:sz w:val="20"/>
        </w:rPr>
        <w:t xml:space="preserve">1.3. Обучение по программе бакалавриата в Организации может осуществляться в очной, очно-заочной и заочной &lt;1&gt; формах.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Обучение по программе бакалавриата допускается в заочной форме лиц, имеющих среднее профессиональное образование по специальности, входящей в укрупненную группу специальностей среднего профессионального образования 40.00.00 Юриспруденция или при получении лицами второго или последующего высшего образования.</w:t>
      </w:r>
    </w:p>
    <w:p>
      <w:pPr>
        <w:pStyle w:val="0"/>
        <w:jc w:val="both"/>
      </w:pPr>
      <w:r>
        <w:rPr>
          <w:sz w:val="20"/>
        </w:rPr>
      </w:r>
    </w:p>
    <w:p>
      <w:pPr>
        <w:pStyle w:val="0"/>
        <w:ind w:firstLine="540"/>
        <w:jc w:val="both"/>
      </w:pPr>
      <w:r>
        <w:rPr>
          <w:sz w:val="20"/>
        </w:rPr>
        <w:t xml:space="preserve">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pPr>
        <w:pStyle w:val="0"/>
        <w:spacing w:before="200" w:lineRule="auto"/>
        <w:ind w:firstLine="540"/>
        <w:jc w:val="both"/>
      </w:pPr>
      <w:r>
        <w:rPr>
          <w:sz w:val="20"/>
        </w:rPr>
        <w:t xml:space="preserve">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pPr>
        <w:pStyle w:val="0"/>
        <w:spacing w:before="200" w:lineRule="auto"/>
        <w:ind w:firstLine="540"/>
        <w:jc w:val="both"/>
      </w:pPr>
      <w:r>
        <w:rPr>
          <w:sz w:val="20"/>
        </w:rPr>
        <w:t xml:space="preserve">1.5. При реализации программы бакалавриата Организация вправе применять электронное обучение, дистанционные образовательные технологии.</w:t>
      </w:r>
    </w:p>
    <w:p>
      <w:pPr>
        <w:pStyle w:val="0"/>
        <w:spacing w:before="200" w:lineRule="auto"/>
        <w:ind w:firstLine="540"/>
        <w:jc w:val="both"/>
      </w:pPr>
      <w:r>
        <w:rPr>
          <w:sz w:val="20"/>
        </w:rPr>
        <w:t xml:space="preserve">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1.6. Реализация программы бакалавриата осуществляется Организацией как самостоятельно, так и посредством сетевой формы.</w:t>
      </w:r>
    </w:p>
    <w:p>
      <w:pPr>
        <w:pStyle w:val="0"/>
        <w:spacing w:before="200" w:lineRule="auto"/>
        <w:ind w:firstLine="540"/>
        <w:jc w:val="both"/>
      </w:pPr>
      <w:r>
        <w:rPr>
          <w:sz w:val="20"/>
        </w:rPr>
        <w:t xml:space="preserve">1.7. Программа бакалавриата реализуется на государственном языке Российской Федерации, если иное не определено локальным нормативным актом Организации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7" w:tooltip="Федеральный закон от 29.12.2012 N 273-ФЗ (ред. от 25.04.2026) &quot;Об образовании в Российской Федерации&quot;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pPr>
        <w:pStyle w:val="0"/>
        <w:jc w:val="both"/>
      </w:pPr>
      <w:r>
        <w:rPr>
          <w:sz w:val="20"/>
        </w:rPr>
      </w:r>
    </w:p>
    <w:bookmarkStart w:id="63" w:name="P63"/>
    <w:bookmarkEnd w:id="63"/>
    <w:p>
      <w:pPr>
        <w:pStyle w:val="0"/>
        <w:ind w:firstLine="540"/>
        <w:jc w:val="both"/>
      </w:pPr>
      <w:r>
        <w:rPr>
          <w:sz w:val="20"/>
        </w:rPr>
        <w:t xml:space="preserve">1.8. Срок получения образования по программе бакалавриата (вне зависимости от применяемых образовательных технологий):</w:t>
      </w:r>
    </w:p>
    <w:p>
      <w:pPr>
        <w:pStyle w:val="0"/>
        <w:spacing w:before="200" w:lineRule="auto"/>
        <w:ind w:firstLine="540"/>
        <w:jc w:val="both"/>
      </w:pPr>
      <w:r>
        <w:rPr>
          <w:sz w:val="20"/>
        </w:rPr>
        <w:t xml:space="preserve">в очной форме обучения, включая каникулы, предоставляемые после прохождения государственной итоговой аттестации, составляет 4 года;</w:t>
      </w:r>
    </w:p>
    <w:p>
      <w:pPr>
        <w:pStyle w:val="0"/>
        <w:spacing w:before="200" w:lineRule="auto"/>
        <w:ind w:firstLine="540"/>
        <w:jc w:val="both"/>
      </w:pPr>
      <w:r>
        <w:rPr>
          <w:sz w:val="20"/>
        </w:rPr>
        <w:t xml:space="preserve">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pPr>
        <w:pStyle w:val="0"/>
        <w:spacing w:before="200" w:lineRule="auto"/>
        <w:ind w:firstLine="540"/>
        <w:jc w:val="both"/>
      </w:pPr>
      <w:r>
        <w:rPr>
          <w:sz w:val="20"/>
        </w:rPr>
        <w:t xml:space="preserve">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bookmarkStart w:id="67" w:name="P67"/>
    <w:bookmarkEnd w:id="67"/>
    <w:p>
      <w:pPr>
        <w:pStyle w:val="0"/>
        <w:spacing w:before="200" w:lineRule="auto"/>
        <w:ind w:firstLine="540"/>
        <w:jc w:val="both"/>
      </w:pPr>
      <w:r>
        <w:rPr>
          <w:sz w:val="20"/>
        </w:rPr>
        <w:t xml:space="preserve">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pPr>
        <w:pStyle w:val="0"/>
        <w:spacing w:before="200" w:lineRule="auto"/>
        <w:ind w:firstLine="540"/>
        <w:jc w:val="both"/>
      </w:pPr>
      <w:r>
        <w:rPr>
          <w:sz w:val="20"/>
        </w:rPr>
        <w:t xml:space="preserve">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pPr>
        <w:pStyle w:val="0"/>
        <w:spacing w:before="200" w:lineRule="auto"/>
        <w:ind w:firstLine="540"/>
        <w:jc w:val="both"/>
      </w:pPr>
      <w:r>
        <w:rPr>
          <w:sz w:val="20"/>
        </w:rPr>
        <w:t xml:space="preserve">1.10. Организация самостоятельно определяет в пределах сроков и объемов, установленных </w:t>
      </w:r>
      <w:hyperlink w:history="0" w:anchor="P63" w:tooltip="1.8. Срок получения образования по программе бакалавриата (вне зависимости от применяемых образовательных технологий):">
        <w:r>
          <w:rPr>
            <w:sz w:val="20"/>
            <w:color w:val="0000ff"/>
          </w:rPr>
          <w:t xml:space="preserve">пунктами 1.8</w:t>
        </w:r>
      </w:hyperlink>
      <w:r>
        <w:rPr>
          <w:sz w:val="20"/>
        </w:rPr>
        <w:t xml:space="preserve"> и </w:t>
      </w:r>
      <w:hyperlink w:history="0" w:anchor="P67" w:tooltip="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w:r>
          <w:rPr>
            <w:sz w:val="20"/>
            <w:color w:val="0000ff"/>
          </w:rPr>
          <w:t xml:space="preserve">1.9</w:t>
        </w:r>
      </w:hyperlink>
      <w:r>
        <w:rPr>
          <w:sz w:val="20"/>
        </w:rPr>
        <w:t xml:space="preserve"> ФГОС ВО:</w:t>
      </w:r>
    </w:p>
    <w:p>
      <w:pPr>
        <w:pStyle w:val="0"/>
        <w:spacing w:before="200" w:lineRule="auto"/>
        <w:ind w:firstLine="540"/>
        <w:jc w:val="both"/>
      </w:pPr>
      <w:r>
        <w:rPr>
          <w:sz w:val="20"/>
        </w:rPr>
        <w:t xml:space="preserve">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pPr>
        <w:pStyle w:val="0"/>
        <w:spacing w:before="200" w:lineRule="auto"/>
        <w:ind w:firstLine="540"/>
        <w:jc w:val="both"/>
      </w:pPr>
      <w:r>
        <w:rPr>
          <w:sz w:val="20"/>
        </w:rPr>
        <w:t xml:space="preserve">объем программы бакалавриата, реализуемый за один учебный год.</w:t>
      </w:r>
    </w:p>
    <w:bookmarkStart w:id="72" w:name="P72"/>
    <w:bookmarkEnd w:id="72"/>
    <w:p>
      <w:pPr>
        <w:pStyle w:val="0"/>
        <w:spacing w:before="200" w:lineRule="auto"/>
        <w:ind w:firstLine="540"/>
        <w:jc w:val="both"/>
      </w:pPr>
      <w:r>
        <w:rPr>
          <w:sz w:val="20"/>
        </w:rPr>
        <w:t xml:space="preserve">1.11. Область профессиональной деятельности &lt;3&gt;, в которой выпускники, освоившие программу бакалавриата (далее - выпускники), могут осуществлять профессиональную деятельность: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8"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hyperlink w:history="0" r:id="rId1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09</w:t>
        </w:r>
      </w:hyperlink>
      <w:r>
        <w:rPr>
          <w:sz w:val="20"/>
        </w:rPr>
        <w:t xml:space="preserve"> Юриспруденция (в сферах: разработки и реализации правовых норм; обеспечения законности и правопорядка; оказания правовой помощи физическим и юридическим лицам).</w:t>
      </w:r>
    </w:p>
    <w:p>
      <w:pPr>
        <w:pStyle w:val="0"/>
        <w:spacing w:before="200" w:lineRule="auto"/>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bookmarkStart w:id="78" w:name="P78"/>
    <w:bookmarkEnd w:id="78"/>
    <w:p>
      <w:pPr>
        <w:pStyle w:val="0"/>
        <w:spacing w:before="200" w:lineRule="auto"/>
        <w:ind w:firstLine="540"/>
        <w:jc w:val="both"/>
      </w:pPr>
      <w:r>
        <w:rPr>
          <w:sz w:val="20"/>
        </w:rPr>
        <w:t xml:space="preserve">1.12. В рамках освоения программы бакалавриата выпускники могут готовиться к решению задач профессиональной деятельности следующих типов:</w:t>
      </w:r>
    </w:p>
    <w:p>
      <w:pPr>
        <w:pStyle w:val="0"/>
        <w:spacing w:before="200" w:lineRule="auto"/>
        <w:ind w:firstLine="540"/>
        <w:jc w:val="both"/>
      </w:pPr>
      <w:r>
        <w:rPr>
          <w:sz w:val="20"/>
        </w:rPr>
        <w:t xml:space="preserve">нормотворческий;</w:t>
      </w:r>
    </w:p>
    <w:p>
      <w:pPr>
        <w:pStyle w:val="0"/>
        <w:spacing w:before="200" w:lineRule="auto"/>
        <w:ind w:firstLine="540"/>
        <w:jc w:val="both"/>
      </w:pPr>
      <w:r>
        <w:rPr>
          <w:sz w:val="20"/>
        </w:rPr>
        <w:t xml:space="preserve">правоприменительный;</w:t>
      </w:r>
    </w:p>
    <w:p>
      <w:pPr>
        <w:pStyle w:val="0"/>
        <w:spacing w:before="200" w:lineRule="auto"/>
        <w:ind w:firstLine="540"/>
        <w:jc w:val="both"/>
      </w:pPr>
      <w:r>
        <w:rPr>
          <w:sz w:val="20"/>
        </w:rPr>
        <w:t xml:space="preserve">правоохранительный;</w:t>
      </w:r>
    </w:p>
    <w:p>
      <w:pPr>
        <w:pStyle w:val="0"/>
        <w:spacing w:before="200" w:lineRule="auto"/>
        <w:ind w:firstLine="540"/>
        <w:jc w:val="both"/>
      </w:pPr>
      <w:r>
        <w:rPr>
          <w:sz w:val="20"/>
        </w:rPr>
        <w:t xml:space="preserve">экспертно-консультационный.</w:t>
      </w:r>
    </w:p>
    <w:p>
      <w:pPr>
        <w:pStyle w:val="0"/>
        <w:spacing w:before="200" w:lineRule="auto"/>
        <w:ind w:firstLine="540"/>
        <w:jc w:val="both"/>
      </w:pPr>
      <w:r>
        <w:rPr>
          <w:sz w:val="20"/>
        </w:rPr>
        <w:t xml:space="preserve">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pPr>
        <w:pStyle w:val="0"/>
        <w:spacing w:before="200" w:lineRule="auto"/>
        <w:ind w:firstLine="540"/>
        <w:jc w:val="both"/>
      </w:pPr>
      <w:r>
        <w:rPr>
          <w:sz w:val="20"/>
        </w:rPr>
        <w:t xml:space="preserve">область профессиональной деятельности и сфера (сферы) профессиональной деятельности выпускников;</w:t>
      </w:r>
    </w:p>
    <w:p>
      <w:pPr>
        <w:pStyle w:val="0"/>
        <w:spacing w:before="200" w:lineRule="auto"/>
        <w:ind w:firstLine="540"/>
        <w:jc w:val="both"/>
      </w:pPr>
      <w:r>
        <w:rPr>
          <w:sz w:val="20"/>
        </w:rPr>
        <w:t xml:space="preserve">тип (типы) задач и задачи профессиональной деятельности выпускников;</w:t>
      </w:r>
    </w:p>
    <w:p>
      <w:pPr>
        <w:pStyle w:val="0"/>
        <w:spacing w:before="200" w:lineRule="auto"/>
        <w:ind w:firstLine="540"/>
        <w:jc w:val="both"/>
      </w:pPr>
      <w:r>
        <w:rPr>
          <w:sz w:val="20"/>
        </w:rPr>
        <w:t xml:space="preserve">при необходимости - на объекты профессиональной деятельности выпускников или область (области) знания.</w:t>
      </w:r>
    </w:p>
    <w:p>
      <w:pPr>
        <w:pStyle w:val="0"/>
        <w:spacing w:before="200" w:lineRule="auto"/>
        <w:ind w:firstLine="540"/>
        <w:jc w:val="both"/>
      </w:pPr>
      <w:r>
        <w:rPr>
          <w:sz w:val="20"/>
        </w:rPr>
        <w:t xml:space="preserve">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pPr>
        <w:pStyle w:val="0"/>
        <w:jc w:val="both"/>
      </w:pPr>
      <w:r>
        <w:rPr>
          <w:sz w:val="20"/>
        </w:rPr>
      </w:r>
    </w:p>
    <w:p>
      <w:pPr>
        <w:pStyle w:val="2"/>
        <w:outlineLvl w:val="1"/>
        <w:jc w:val="center"/>
      </w:pPr>
      <w:r>
        <w:rPr>
          <w:sz w:val="20"/>
        </w:rPr>
        <w:t xml:space="preserve">II. Требования к структуре программы бакалавриата</w:t>
      </w:r>
    </w:p>
    <w:p>
      <w:pPr>
        <w:pStyle w:val="0"/>
        <w:jc w:val="both"/>
      </w:pPr>
      <w:r>
        <w:rPr>
          <w:sz w:val="20"/>
        </w:rPr>
      </w:r>
    </w:p>
    <w:p>
      <w:pPr>
        <w:pStyle w:val="0"/>
        <w:ind w:firstLine="540"/>
        <w:jc w:val="both"/>
      </w:pPr>
      <w:r>
        <w:rPr>
          <w:sz w:val="20"/>
        </w:rPr>
        <w:t xml:space="preserve">2.1. Структура программы бакалавриата включает следующие блоки.</w:t>
      </w:r>
    </w:p>
    <w:p>
      <w:pPr>
        <w:pStyle w:val="0"/>
        <w:spacing w:before="200" w:lineRule="auto"/>
        <w:ind w:firstLine="540"/>
        <w:jc w:val="both"/>
      </w:pPr>
      <w:hyperlink w:history="0" w:anchor="P102" w:tooltip="Блок 1">
        <w:r>
          <w:rPr>
            <w:sz w:val="20"/>
            <w:color w:val="0000ff"/>
          </w:rPr>
          <w:t xml:space="preserve">Блок 1</w:t>
        </w:r>
      </w:hyperlink>
      <w:r>
        <w:rPr>
          <w:sz w:val="20"/>
        </w:rPr>
        <w:t xml:space="preserve"> "Дисциплины (модули)";</w:t>
      </w:r>
    </w:p>
    <w:p>
      <w:pPr>
        <w:pStyle w:val="0"/>
        <w:spacing w:before="200" w:lineRule="auto"/>
        <w:ind w:firstLine="540"/>
        <w:jc w:val="both"/>
      </w:pPr>
      <w:hyperlink w:history="0" w:anchor="P105" w:tooltip="Блок 2">
        <w:r>
          <w:rPr>
            <w:sz w:val="20"/>
            <w:color w:val="0000ff"/>
          </w:rPr>
          <w:t xml:space="preserve">Блок 2</w:t>
        </w:r>
      </w:hyperlink>
      <w:r>
        <w:rPr>
          <w:sz w:val="20"/>
        </w:rPr>
        <w:t xml:space="preserve"> "Практика";</w:t>
      </w:r>
    </w:p>
    <w:p>
      <w:pPr>
        <w:pStyle w:val="0"/>
        <w:spacing w:before="200" w:lineRule="auto"/>
        <w:ind w:firstLine="540"/>
        <w:jc w:val="both"/>
      </w:pPr>
      <w:hyperlink w:history="0" w:anchor="P108" w:tooltip="Блок 3">
        <w:r>
          <w:rPr>
            <w:sz w:val="20"/>
            <w:color w:val="0000ff"/>
          </w:rPr>
          <w:t xml:space="preserve">Блок 3</w:t>
        </w:r>
      </w:hyperlink>
      <w:r>
        <w:rPr>
          <w:sz w:val="20"/>
        </w:rPr>
        <w:t xml:space="preserve"> "Государственная итоговая аттестация".</w:t>
      </w:r>
    </w:p>
    <w:p>
      <w:pPr>
        <w:pStyle w:val="0"/>
        <w:jc w:val="both"/>
      </w:pPr>
      <w:r>
        <w:rPr>
          <w:sz w:val="20"/>
        </w:rPr>
      </w:r>
    </w:p>
    <w:p>
      <w:pPr>
        <w:pStyle w:val="2"/>
        <w:jc w:val="center"/>
      </w:pPr>
      <w:r>
        <w:rPr>
          <w:sz w:val="20"/>
        </w:rPr>
        <w:t xml:space="preserve">Структура и объем программы бакалавриата</w:t>
      </w:r>
    </w:p>
    <w:p>
      <w:pPr>
        <w:pStyle w:val="0"/>
        <w:jc w:val="both"/>
      </w:pPr>
      <w:r>
        <w:rPr>
          <w:sz w:val="20"/>
        </w:rPr>
      </w:r>
    </w:p>
    <w:p>
      <w:pPr>
        <w:pStyle w:val="0"/>
        <w:jc w:val="right"/>
      </w:pPr>
      <w:r>
        <w:rPr>
          <w:sz w:val="20"/>
        </w:rPr>
        <w:t xml:space="preserve">Таблица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4535"/>
        <w:gridCol w:w="3572"/>
      </w:tblGrid>
      <w:tr>
        <w:tc>
          <w:tcPr>
            <w:gridSpan w:val="2"/>
            <w:tcW w:w="5499" w:type="dxa"/>
          </w:tcPr>
          <w:p>
            <w:pPr>
              <w:pStyle w:val="0"/>
              <w:jc w:val="center"/>
            </w:pPr>
            <w:r>
              <w:rPr>
                <w:sz w:val="20"/>
              </w:rPr>
              <w:t xml:space="preserve">Структура программы бакалавриата</w:t>
            </w:r>
          </w:p>
        </w:tc>
        <w:tc>
          <w:tcPr>
            <w:tcW w:w="3572" w:type="dxa"/>
          </w:tcPr>
          <w:p>
            <w:pPr>
              <w:pStyle w:val="0"/>
              <w:jc w:val="center"/>
            </w:pPr>
            <w:r>
              <w:rPr>
                <w:sz w:val="20"/>
              </w:rPr>
              <w:t xml:space="preserve">Объем программы бакалавриата и ее блоков в з.е.</w:t>
            </w:r>
          </w:p>
        </w:tc>
      </w:tr>
      <w:tr>
        <w:tc>
          <w:tcPr>
            <w:tcW w:w="964" w:type="dxa"/>
            <w:vAlign w:val="center"/>
          </w:tcPr>
          <w:bookmarkStart w:id="102" w:name="P102"/>
          <w:bookmarkEnd w:id="102"/>
          <w:p>
            <w:pPr>
              <w:pStyle w:val="0"/>
            </w:pPr>
            <w:r>
              <w:rPr>
                <w:sz w:val="20"/>
              </w:rPr>
              <w:t xml:space="preserve">Блок 1</w:t>
            </w:r>
          </w:p>
        </w:tc>
        <w:tc>
          <w:tcPr>
            <w:tcW w:w="4535" w:type="dxa"/>
            <w:vAlign w:val="center"/>
          </w:tcPr>
          <w:p>
            <w:pPr>
              <w:pStyle w:val="0"/>
            </w:pPr>
            <w:r>
              <w:rPr>
                <w:sz w:val="20"/>
              </w:rPr>
              <w:t xml:space="preserve">Дисциплины (модули)</w:t>
            </w:r>
          </w:p>
        </w:tc>
        <w:tc>
          <w:tcPr>
            <w:tcW w:w="3572" w:type="dxa"/>
            <w:vAlign w:val="center"/>
          </w:tcPr>
          <w:p>
            <w:pPr>
              <w:pStyle w:val="0"/>
              <w:jc w:val="center"/>
            </w:pPr>
            <w:r>
              <w:rPr>
                <w:sz w:val="20"/>
              </w:rPr>
              <w:t xml:space="preserve">не менее 200</w:t>
            </w:r>
          </w:p>
        </w:tc>
      </w:tr>
      <w:tr>
        <w:tc>
          <w:tcPr>
            <w:tcW w:w="964" w:type="dxa"/>
            <w:vAlign w:val="center"/>
          </w:tcPr>
          <w:bookmarkStart w:id="105" w:name="P105"/>
          <w:bookmarkEnd w:id="105"/>
          <w:p>
            <w:pPr>
              <w:pStyle w:val="0"/>
            </w:pPr>
            <w:r>
              <w:rPr>
                <w:sz w:val="20"/>
              </w:rPr>
              <w:t xml:space="preserve">Блок 2</w:t>
            </w:r>
          </w:p>
        </w:tc>
        <w:tc>
          <w:tcPr>
            <w:tcW w:w="4535" w:type="dxa"/>
            <w:vAlign w:val="center"/>
          </w:tcPr>
          <w:p>
            <w:pPr>
              <w:pStyle w:val="0"/>
            </w:pPr>
            <w:r>
              <w:rPr>
                <w:sz w:val="20"/>
              </w:rPr>
              <w:t xml:space="preserve">Практика</w:t>
            </w:r>
          </w:p>
        </w:tc>
        <w:tc>
          <w:tcPr>
            <w:tcW w:w="3572" w:type="dxa"/>
            <w:vAlign w:val="center"/>
          </w:tcPr>
          <w:p>
            <w:pPr>
              <w:pStyle w:val="0"/>
              <w:jc w:val="center"/>
            </w:pPr>
            <w:r>
              <w:rPr>
                <w:sz w:val="20"/>
              </w:rPr>
              <w:t xml:space="preserve">не менее 15</w:t>
            </w:r>
          </w:p>
        </w:tc>
      </w:tr>
      <w:tr>
        <w:tblPrEx>
          <w:tblBorders>
            <w:insideH w:val="nil"/>
          </w:tblBorders>
        </w:tblPrEx>
        <w:tc>
          <w:tcPr>
            <w:tcW w:w="964" w:type="dxa"/>
            <w:vAlign w:val="center"/>
            <w:tcBorders>
              <w:bottom w:val="nil"/>
            </w:tcBorders>
          </w:tcPr>
          <w:bookmarkStart w:id="108" w:name="P108"/>
          <w:bookmarkEnd w:id="108"/>
          <w:p>
            <w:pPr>
              <w:pStyle w:val="0"/>
            </w:pPr>
            <w:r>
              <w:rPr>
                <w:sz w:val="20"/>
              </w:rPr>
              <w:t xml:space="preserve">Блок 3</w:t>
            </w:r>
          </w:p>
        </w:tc>
        <w:tc>
          <w:tcPr>
            <w:tcW w:w="4535" w:type="dxa"/>
            <w:vAlign w:val="center"/>
            <w:tcBorders>
              <w:bottom w:val="nil"/>
            </w:tcBorders>
          </w:tcPr>
          <w:p>
            <w:pPr>
              <w:pStyle w:val="0"/>
            </w:pPr>
            <w:r>
              <w:rPr>
                <w:sz w:val="20"/>
              </w:rPr>
              <w:t xml:space="preserve">Государственная итоговая аттестация</w:t>
            </w:r>
          </w:p>
        </w:tc>
        <w:tc>
          <w:tcPr>
            <w:tcW w:w="3572" w:type="dxa"/>
            <w:vAlign w:val="center"/>
            <w:tcBorders>
              <w:bottom w:val="nil"/>
            </w:tcBorders>
          </w:tcPr>
          <w:p>
            <w:pPr>
              <w:pStyle w:val="0"/>
              <w:jc w:val="center"/>
            </w:pPr>
            <w:r>
              <w:rPr>
                <w:sz w:val="20"/>
              </w:rPr>
              <w:t xml:space="preserve">6 - 9</w:t>
            </w:r>
          </w:p>
        </w:tc>
      </w:tr>
      <w:tr>
        <w:tblPrEx>
          <w:tblBorders>
            <w:insideH w:val="nil"/>
          </w:tblBorders>
        </w:tblPrEx>
        <w:tc>
          <w:tcPr>
            <w:gridSpan w:val="3"/>
            <w:tcW w:w="9071" w:type="dxa"/>
            <w:tcBorders>
              <w:top w:val="nil"/>
            </w:tcBorders>
          </w:tcPr>
          <w:p>
            <w:pPr>
              <w:pStyle w:val="0"/>
              <w:jc w:val="both"/>
            </w:pPr>
            <w:r>
              <w:rPr>
                <w:sz w:val="20"/>
              </w:rPr>
              <w:t xml:space="preserve">(в ред. </w:t>
            </w:r>
            <w:hyperlink w:history="0" r:id="rId20"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Приказа</w:t>
              </w:r>
            </w:hyperlink>
            <w:r>
              <w:rPr>
                <w:sz w:val="20"/>
              </w:rPr>
              <w:t xml:space="preserve"> Минобрнауки России от 26.11.2020 N 1456)</w:t>
            </w:r>
          </w:p>
        </w:tc>
      </w:tr>
      <w:tr>
        <w:tc>
          <w:tcPr>
            <w:gridSpan w:val="2"/>
            <w:tcW w:w="5499" w:type="dxa"/>
            <w:vAlign w:val="center"/>
          </w:tcPr>
          <w:p>
            <w:pPr>
              <w:pStyle w:val="0"/>
              <w:ind w:firstLine="283"/>
              <w:jc w:val="both"/>
            </w:pPr>
            <w:r>
              <w:rPr>
                <w:sz w:val="20"/>
              </w:rPr>
              <w:t xml:space="preserve">Объем программы бакалавриата</w:t>
            </w:r>
          </w:p>
        </w:tc>
        <w:tc>
          <w:tcPr>
            <w:tcW w:w="3572" w:type="dxa"/>
            <w:vAlign w:val="center"/>
          </w:tcPr>
          <w:p>
            <w:pPr>
              <w:pStyle w:val="0"/>
              <w:jc w:val="center"/>
            </w:pPr>
            <w:r>
              <w:rPr>
                <w:sz w:val="20"/>
              </w:rPr>
              <w:t xml:space="preserve">240</w:t>
            </w:r>
          </w:p>
        </w:tc>
      </w:tr>
    </w:tbl>
    <w:p>
      <w:pPr>
        <w:pStyle w:val="0"/>
        <w:jc w:val="both"/>
      </w:pPr>
      <w:r>
        <w:rPr>
          <w:sz w:val="20"/>
        </w:rPr>
      </w:r>
    </w:p>
    <w:bookmarkStart w:id="115" w:name="P115"/>
    <w:bookmarkEnd w:id="115"/>
    <w:p>
      <w:pPr>
        <w:pStyle w:val="0"/>
        <w:ind w:firstLine="540"/>
        <w:jc w:val="both"/>
      </w:pPr>
      <w:r>
        <w:rPr>
          <w:sz w:val="20"/>
        </w:rPr>
        <w:t xml:space="preserve">2.2. Программа бакалавриата в рамках </w:t>
      </w:r>
      <w:hyperlink w:history="0" w:anchor="P102" w:tooltip="Блок 1">
        <w:r>
          <w:rPr>
            <w:sz w:val="20"/>
            <w:color w:val="0000ff"/>
          </w:rPr>
          <w:t xml:space="preserve">Блока 1</w:t>
        </w:r>
      </w:hyperlink>
      <w:r>
        <w:rPr>
          <w:sz w:val="20"/>
        </w:rPr>
        <w:t xml:space="preserve"> "Дисциплины (модули)" должна обеспечивать:</w:t>
      </w:r>
    </w:p>
    <w:p>
      <w:pPr>
        <w:pStyle w:val="0"/>
        <w:spacing w:before="200" w:lineRule="auto"/>
        <w:ind w:firstLine="540"/>
        <w:jc w:val="both"/>
      </w:pPr>
      <w:r>
        <w:rPr>
          <w:sz w:val="20"/>
        </w:rPr>
        <w:t xml:space="preserve">реализацию дисциплин (модулей) по философии, иностранному языку, безопасности жизнедеятельности, истории государства и права России, истории государства и права зарубежных стран, иностранному языку в сфере юриспруденции, теории государства и права, конституционному праву, административному праву, гражданскому праву, гражданскому процессу, арбитражному процессу, трудовому праву, уголовному праву, уголовному процессу, экологическому праву, земельному праву, финансовому праву, налоговому праву, предпринимательскому праву, международному праву, международному частному праву, криминалистике, криминологии, праву социального обеспечения, семейному праву, информационным технологиям в юридической деятельности;</w:t>
      </w:r>
    </w:p>
    <w:p>
      <w:pPr>
        <w:pStyle w:val="0"/>
        <w:spacing w:before="200" w:lineRule="auto"/>
        <w:ind w:firstLine="540"/>
        <w:jc w:val="both"/>
      </w:pPr>
      <w:r>
        <w:rPr>
          <w:sz w:val="20"/>
        </w:rPr>
        <w:t xml:space="preserve">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но в очно-заочной и заочной формах обучения не менее 40 процентов объема, отводимого на реализацию указанной дисциплины (модуля).</w:t>
      </w:r>
    </w:p>
    <w:p>
      <w:pPr>
        <w:pStyle w:val="0"/>
        <w:jc w:val="both"/>
      </w:pPr>
      <w:r>
        <w:rPr>
          <w:sz w:val="20"/>
        </w:rPr>
        <w:t xml:space="preserve">(п. 2.2 в ред. </w:t>
      </w:r>
      <w:hyperlink w:history="0" r:id="rId21"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Приказа</w:t>
        </w:r>
      </w:hyperlink>
      <w:r>
        <w:rPr>
          <w:sz w:val="20"/>
        </w:rPr>
        <w:t xml:space="preserve"> Минобрнауки России от 19.07.2022 N 662)</w:t>
      </w:r>
    </w:p>
    <w:p>
      <w:pPr>
        <w:pStyle w:val="0"/>
        <w:spacing w:before="200" w:lineRule="auto"/>
        <w:ind w:firstLine="540"/>
        <w:jc w:val="both"/>
      </w:pPr>
      <w:r>
        <w:rPr>
          <w:sz w:val="20"/>
        </w:rPr>
        <w:t xml:space="preserve">2.3. Программа бакалавриата должна обеспечивать реализацию дисциплин (модулей) по физической культуре и спорту:</w:t>
      </w:r>
    </w:p>
    <w:p>
      <w:pPr>
        <w:pStyle w:val="0"/>
        <w:spacing w:before="200" w:lineRule="auto"/>
        <w:ind w:firstLine="540"/>
        <w:jc w:val="both"/>
      </w:pPr>
      <w:r>
        <w:rPr>
          <w:sz w:val="20"/>
        </w:rPr>
        <w:t xml:space="preserve">в объеме не менее 2 з.е. в рамках </w:t>
      </w:r>
      <w:hyperlink w:history="0" w:anchor="P102"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pPr>
        <w:pStyle w:val="0"/>
        <w:spacing w:before="200" w:lineRule="auto"/>
        <w:ind w:firstLine="540"/>
        <w:jc w:val="both"/>
      </w:pPr>
      <w:r>
        <w:rPr>
          <w:sz w:val="20"/>
        </w:rPr>
        <w:t xml:space="preserve">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bookmarkStart w:id="123" w:name="P123"/>
    <w:bookmarkEnd w:id="123"/>
    <w:p>
      <w:pPr>
        <w:pStyle w:val="0"/>
        <w:spacing w:before="200" w:lineRule="auto"/>
        <w:ind w:firstLine="540"/>
        <w:jc w:val="both"/>
      </w:pPr>
      <w:r>
        <w:rPr>
          <w:sz w:val="20"/>
        </w:rPr>
        <w:t xml:space="preserve">2.4. В </w:t>
      </w:r>
      <w:hyperlink w:history="0" w:anchor="P105" w:tooltip="Блок 2">
        <w:r>
          <w:rPr>
            <w:sz w:val="20"/>
            <w:color w:val="0000ff"/>
          </w:rPr>
          <w:t xml:space="preserve">Блок 2</w:t>
        </w:r>
      </w:hyperlink>
      <w:r>
        <w:rPr>
          <w:sz w:val="20"/>
        </w:rPr>
        <w:t xml:space="preserve"> "Практика" входят учебная и производственная практики (далее вместе - практики).</w:t>
      </w:r>
    </w:p>
    <w:p>
      <w:pPr>
        <w:pStyle w:val="0"/>
        <w:spacing w:before="200" w:lineRule="auto"/>
        <w:ind w:firstLine="540"/>
        <w:jc w:val="both"/>
      </w:pPr>
      <w:r>
        <w:rPr>
          <w:sz w:val="20"/>
        </w:rPr>
        <w:t xml:space="preserve">Типы учебной практики:</w:t>
      </w:r>
    </w:p>
    <w:p>
      <w:pPr>
        <w:pStyle w:val="0"/>
        <w:spacing w:before="200" w:lineRule="auto"/>
        <w:ind w:firstLine="540"/>
        <w:jc w:val="both"/>
      </w:pPr>
      <w:r>
        <w:rPr>
          <w:sz w:val="20"/>
        </w:rPr>
        <w:t xml:space="preserve">ознакомительная практика;</w:t>
      </w:r>
    </w:p>
    <w:p>
      <w:pPr>
        <w:pStyle w:val="0"/>
        <w:spacing w:before="200" w:lineRule="auto"/>
        <w:ind w:firstLine="540"/>
        <w:jc w:val="both"/>
      </w:pPr>
      <w:r>
        <w:rPr>
          <w:sz w:val="20"/>
        </w:rPr>
        <w:t xml:space="preserve">правоприменительная практика.</w:t>
      </w:r>
    </w:p>
    <w:p>
      <w:pPr>
        <w:pStyle w:val="0"/>
        <w:spacing w:before="200" w:lineRule="auto"/>
        <w:ind w:firstLine="540"/>
        <w:jc w:val="both"/>
      </w:pPr>
      <w:r>
        <w:rPr>
          <w:sz w:val="20"/>
        </w:rPr>
        <w:t xml:space="preserve">Типы производственной практики:</w:t>
      </w:r>
    </w:p>
    <w:p>
      <w:pPr>
        <w:pStyle w:val="0"/>
        <w:spacing w:before="200" w:lineRule="auto"/>
        <w:ind w:firstLine="540"/>
        <w:jc w:val="both"/>
      </w:pPr>
      <w:r>
        <w:rPr>
          <w:sz w:val="20"/>
        </w:rPr>
        <w:t xml:space="preserve">правоприменительная практика;</w:t>
      </w:r>
    </w:p>
    <w:p>
      <w:pPr>
        <w:pStyle w:val="0"/>
        <w:spacing w:before="200" w:lineRule="auto"/>
        <w:ind w:firstLine="540"/>
        <w:jc w:val="both"/>
      </w:pPr>
      <w:r>
        <w:rPr>
          <w:sz w:val="20"/>
        </w:rPr>
        <w:t xml:space="preserve">проектная практика;</w:t>
      </w:r>
    </w:p>
    <w:p>
      <w:pPr>
        <w:pStyle w:val="0"/>
        <w:spacing w:before="200" w:lineRule="auto"/>
        <w:ind w:firstLine="540"/>
        <w:jc w:val="both"/>
      </w:pPr>
      <w:r>
        <w:rPr>
          <w:sz w:val="20"/>
        </w:rPr>
        <w:t xml:space="preserve">преддипломная практика.</w:t>
      </w:r>
    </w:p>
    <w:p>
      <w:pPr>
        <w:pStyle w:val="0"/>
        <w:spacing w:before="200" w:lineRule="auto"/>
        <w:ind w:firstLine="540"/>
        <w:jc w:val="both"/>
      </w:pPr>
      <w:r>
        <w:rPr>
          <w:sz w:val="20"/>
        </w:rPr>
        <w:t xml:space="preserve">2.5. В дополнение к типам практик, указанным в </w:t>
      </w:r>
      <w:hyperlink w:history="0" w:anchor="P123"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 ПООП может также содержать рекомендуемые типы практик.</w:t>
      </w:r>
    </w:p>
    <w:p>
      <w:pPr>
        <w:pStyle w:val="0"/>
        <w:spacing w:before="200" w:lineRule="auto"/>
        <w:ind w:firstLine="540"/>
        <w:jc w:val="both"/>
      </w:pPr>
      <w:r>
        <w:rPr>
          <w:sz w:val="20"/>
        </w:rPr>
        <w:t xml:space="preserve">2.6. Организация:</w:t>
      </w:r>
    </w:p>
    <w:p>
      <w:pPr>
        <w:pStyle w:val="0"/>
        <w:spacing w:before="200" w:lineRule="auto"/>
        <w:ind w:firstLine="540"/>
        <w:jc w:val="both"/>
      </w:pPr>
      <w:r>
        <w:rPr>
          <w:sz w:val="20"/>
        </w:rPr>
        <w:t xml:space="preserve">выбирает один или несколько типов учебной практики и один или несколько типов производственной практики из перечня, указанного в </w:t>
      </w:r>
      <w:hyperlink w:history="0" w:anchor="P123"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w:t>
      </w:r>
    </w:p>
    <w:p>
      <w:pPr>
        <w:pStyle w:val="0"/>
        <w:spacing w:before="200" w:lineRule="auto"/>
        <w:ind w:firstLine="540"/>
        <w:jc w:val="both"/>
      </w:pPr>
      <w:r>
        <w:rPr>
          <w:sz w:val="20"/>
        </w:rPr>
        <w:t xml:space="preserve">вправе выбрать один или несколько типов учебной практики и (или) производственной практики из рекомендуемых ПООП (при наличии);</w:t>
      </w:r>
    </w:p>
    <w:p>
      <w:pPr>
        <w:pStyle w:val="0"/>
        <w:spacing w:before="200" w:lineRule="auto"/>
        <w:ind w:firstLine="540"/>
        <w:jc w:val="both"/>
      </w:pPr>
      <w:r>
        <w:rPr>
          <w:sz w:val="20"/>
        </w:rPr>
        <w:t xml:space="preserve">вправе установить дополнительный тип (типы) учебной и (или) производственной практик;</w:t>
      </w:r>
    </w:p>
    <w:p>
      <w:pPr>
        <w:pStyle w:val="0"/>
        <w:spacing w:before="200" w:lineRule="auto"/>
        <w:ind w:firstLine="540"/>
        <w:jc w:val="both"/>
      </w:pPr>
      <w:r>
        <w:rPr>
          <w:sz w:val="20"/>
        </w:rPr>
        <w:t xml:space="preserve">устанавливает объемы практик каждого типа.</w:t>
      </w:r>
    </w:p>
    <w:p>
      <w:pPr>
        <w:pStyle w:val="0"/>
        <w:spacing w:before="200" w:lineRule="auto"/>
        <w:ind w:firstLine="540"/>
        <w:jc w:val="both"/>
      </w:pPr>
      <w:r>
        <w:rPr>
          <w:sz w:val="20"/>
        </w:rPr>
        <w:t xml:space="preserve">2.7. В </w:t>
      </w:r>
      <w:hyperlink w:history="0" w:anchor="P108" w:tooltip="Блок 3">
        <w:r>
          <w:rPr>
            <w:sz w:val="20"/>
            <w:color w:val="0000ff"/>
          </w:rPr>
          <w:t xml:space="preserve">Блок 3</w:t>
        </w:r>
      </w:hyperlink>
      <w:r>
        <w:rPr>
          <w:sz w:val="20"/>
        </w:rPr>
        <w:t xml:space="preserve"> "Государственная итоговая аттестация" входят:</w:t>
      </w:r>
    </w:p>
    <w:p>
      <w:pPr>
        <w:pStyle w:val="0"/>
        <w:spacing w:before="200" w:lineRule="auto"/>
        <w:ind w:firstLine="540"/>
        <w:jc w:val="both"/>
      </w:pPr>
      <w:r>
        <w:rPr>
          <w:sz w:val="20"/>
        </w:rPr>
        <w:t xml:space="preserve">подготовка к сдаче и сдача государственного экзамена;</w:t>
      </w:r>
    </w:p>
    <w:p>
      <w:pPr>
        <w:pStyle w:val="0"/>
        <w:spacing w:before="200" w:lineRule="auto"/>
        <w:ind w:firstLine="540"/>
        <w:jc w:val="both"/>
      </w:pPr>
      <w:r>
        <w:rPr>
          <w:sz w:val="20"/>
        </w:rPr>
        <w:t xml:space="preserve">выполнение, подготовка к процедуре защиты и защита выпускной квалификационной работы (если Организация включила защиту выпускной квалификационной работы в состав государственной итоговой аттестации).</w:t>
      </w:r>
    </w:p>
    <w:p>
      <w:pPr>
        <w:pStyle w:val="0"/>
        <w:spacing w:before="200" w:lineRule="auto"/>
        <w:ind w:firstLine="540"/>
        <w:jc w:val="both"/>
      </w:pPr>
      <w:r>
        <w:rPr>
          <w:sz w:val="20"/>
        </w:rPr>
        <w:t xml:space="preserve">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pPr>
        <w:pStyle w:val="0"/>
        <w:spacing w:before="200" w:lineRule="auto"/>
        <w:ind w:firstLine="540"/>
        <w:jc w:val="both"/>
      </w:pPr>
      <w:r>
        <w:rPr>
          <w:sz w:val="20"/>
        </w:rPr>
        <w:t xml:space="preserve">Факультативные дисциплины (модули) не включаются в объем программы бакалавриата.</w:t>
      </w:r>
    </w:p>
    <w:p>
      <w:pPr>
        <w:pStyle w:val="0"/>
        <w:spacing w:before="200" w:lineRule="auto"/>
        <w:ind w:firstLine="540"/>
        <w:jc w:val="both"/>
      </w:pPr>
      <w:r>
        <w:rPr>
          <w:sz w:val="20"/>
        </w:rPr>
        <w:t xml:space="preserve">2.9. В рамках программы бакалавриата выделяются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pPr>
        <w:pStyle w:val="0"/>
        <w:spacing w:before="200" w:lineRule="auto"/>
        <w:ind w:firstLine="540"/>
        <w:jc w:val="both"/>
      </w:pPr>
      <w:r>
        <w:rPr>
          <w:sz w:val="20"/>
        </w:rPr>
        <w:t xml:space="preserve">В обязательную часть программы бакалавриата включаются, в том числе:</w:t>
      </w:r>
    </w:p>
    <w:p>
      <w:pPr>
        <w:pStyle w:val="0"/>
        <w:spacing w:before="200" w:lineRule="auto"/>
        <w:ind w:firstLine="540"/>
        <w:jc w:val="both"/>
      </w:pPr>
      <w:r>
        <w:rPr>
          <w:sz w:val="20"/>
        </w:rPr>
        <w:t xml:space="preserve">дисциплины (модули), указанные в </w:t>
      </w:r>
      <w:hyperlink w:history="0" w:anchor="P115" w:tooltip="2.2. Программа бакалавриата в рамках Блока 1 &quot;Дисциплины (модули)&quot; должна обеспечивать:">
        <w:r>
          <w:rPr>
            <w:sz w:val="20"/>
            <w:color w:val="0000ff"/>
          </w:rPr>
          <w:t xml:space="preserve">пункте 2.2</w:t>
        </w:r>
      </w:hyperlink>
      <w:r>
        <w:rPr>
          <w:sz w:val="20"/>
        </w:rPr>
        <w:t xml:space="preserve"> ФГОС ВО;</w:t>
      </w:r>
    </w:p>
    <w:p>
      <w:pPr>
        <w:pStyle w:val="0"/>
        <w:spacing w:before="200" w:lineRule="auto"/>
        <w:ind w:firstLine="540"/>
        <w:jc w:val="both"/>
      </w:pPr>
      <w:r>
        <w:rPr>
          <w:sz w:val="20"/>
        </w:rPr>
        <w:t xml:space="preserve">дисциплины (модули) по физической культуре и спорту, реализуемые в рамках </w:t>
      </w:r>
      <w:hyperlink w:history="0" w:anchor="P102"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менее 60 процентов общего объема программы бакалавриата.</w:t>
      </w:r>
    </w:p>
    <w:p>
      <w:pPr>
        <w:pStyle w:val="0"/>
        <w:spacing w:before="200" w:lineRule="auto"/>
        <w:ind w:firstLine="540"/>
        <w:jc w:val="both"/>
      </w:pPr>
      <w:r>
        <w:rPr>
          <w:sz w:val="20"/>
        </w:rPr>
        <w:t xml:space="preserve">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jc w:val="both"/>
      </w:pPr>
      <w:r>
        <w:rPr>
          <w:sz w:val="20"/>
        </w:rPr>
      </w:r>
    </w:p>
    <w:p>
      <w:pPr>
        <w:pStyle w:val="2"/>
        <w:outlineLvl w:val="1"/>
        <w:jc w:val="center"/>
      </w:pPr>
      <w:r>
        <w:rPr>
          <w:sz w:val="20"/>
        </w:rPr>
        <w:t xml:space="preserve">III. Требования к результатам освоения</w:t>
      </w:r>
    </w:p>
    <w:p>
      <w:pPr>
        <w:pStyle w:val="2"/>
        <w:jc w:val="center"/>
      </w:pPr>
      <w:r>
        <w:rPr>
          <w:sz w:val="20"/>
        </w:rPr>
        <w:t xml:space="preserve">программы бакалавриата</w:t>
      </w:r>
    </w:p>
    <w:p>
      <w:pPr>
        <w:pStyle w:val="0"/>
        <w:jc w:val="both"/>
      </w:pPr>
      <w:r>
        <w:rPr>
          <w:sz w:val="20"/>
        </w:rPr>
      </w:r>
    </w:p>
    <w:p>
      <w:pPr>
        <w:pStyle w:val="0"/>
        <w:ind w:firstLine="540"/>
        <w:jc w:val="both"/>
      </w:pPr>
      <w:r>
        <w:rPr>
          <w:sz w:val="20"/>
        </w:rPr>
        <w:t xml:space="preserve">3.1. В результате освоения программы бакалавриата у выпускника должны быть сформированы компетенции, установленные программой бакалавриата.</w:t>
      </w:r>
    </w:p>
    <w:p>
      <w:pPr>
        <w:pStyle w:val="0"/>
        <w:spacing w:before="200" w:lineRule="auto"/>
        <w:ind w:firstLine="540"/>
        <w:jc w:val="both"/>
      </w:pPr>
      <w:r>
        <w:rPr>
          <w:sz w:val="20"/>
        </w:rPr>
        <w:t xml:space="preserve">3.2. Программа бакалавриата должна устанавливать следующие универсальные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Наименование категории (группы) универсальных компетенций</w:t>
            </w:r>
          </w:p>
        </w:tc>
        <w:tc>
          <w:tcPr>
            <w:tcW w:w="6860" w:type="dxa"/>
          </w:tcPr>
          <w:p>
            <w:pPr>
              <w:pStyle w:val="0"/>
              <w:jc w:val="center"/>
            </w:pPr>
            <w:r>
              <w:rPr>
                <w:sz w:val="20"/>
              </w:rPr>
              <w:t xml:space="preserve">Код и наименование универсальной компетенции выпускника</w:t>
            </w:r>
          </w:p>
        </w:tc>
      </w:tr>
      <w:tr>
        <w:tc>
          <w:tcPr>
            <w:tcW w:w="2211" w:type="dxa"/>
            <w:vAlign w:val="center"/>
          </w:tcPr>
          <w:p>
            <w:pPr>
              <w:pStyle w:val="0"/>
            </w:pPr>
            <w:r>
              <w:rPr>
                <w:sz w:val="20"/>
              </w:rPr>
              <w:t xml:space="preserve">Системное и критическое мышление</w:t>
            </w:r>
          </w:p>
        </w:tc>
        <w:tc>
          <w:tcPr>
            <w:tcW w:w="6860" w:type="dxa"/>
            <w:vAlign w:val="center"/>
          </w:tcPr>
          <w:p>
            <w:pPr>
              <w:pStyle w:val="0"/>
              <w:jc w:val="both"/>
            </w:pPr>
            <w:r>
              <w:rPr>
                <w:sz w:val="20"/>
              </w:rPr>
              <w:t xml:space="preserve">УК-1. Способен осуществлять поиск, критический анализ и синтез информации, применять системный подход для решения поставленных задач</w:t>
            </w:r>
          </w:p>
        </w:tc>
      </w:tr>
      <w:tr>
        <w:tc>
          <w:tcPr>
            <w:tcW w:w="2211" w:type="dxa"/>
            <w:vAlign w:val="center"/>
          </w:tcPr>
          <w:p>
            <w:pPr>
              <w:pStyle w:val="0"/>
            </w:pPr>
            <w:r>
              <w:rPr>
                <w:sz w:val="20"/>
              </w:rPr>
              <w:t xml:space="preserve">Разработка и реализация проектов</w:t>
            </w:r>
          </w:p>
        </w:tc>
        <w:tc>
          <w:tcPr>
            <w:tcW w:w="6860" w:type="dxa"/>
            <w:vAlign w:val="center"/>
          </w:tcPr>
          <w:p>
            <w:pPr>
              <w:pStyle w:val="0"/>
              <w:jc w:val="both"/>
            </w:pPr>
            <w:r>
              <w:rPr>
                <w:sz w:val="20"/>
              </w:rPr>
              <w:t xml:space="preserve">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tc>
          <w:tcPr>
            <w:tcW w:w="2211" w:type="dxa"/>
            <w:vAlign w:val="center"/>
          </w:tcPr>
          <w:p>
            <w:pPr>
              <w:pStyle w:val="0"/>
            </w:pPr>
            <w:r>
              <w:rPr>
                <w:sz w:val="20"/>
              </w:rPr>
              <w:t xml:space="preserve">Командная работа и лидерство</w:t>
            </w:r>
          </w:p>
        </w:tc>
        <w:tc>
          <w:tcPr>
            <w:tcW w:w="6860" w:type="dxa"/>
            <w:vAlign w:val="center"/>
          </w:tcPr>
          <w:p>
            <w:pPr>
              <w:pStyle w:val="0"/>
              <w:jc w:val="both"/>
            </w:pPr>
            <w:r>
              <w:rPr>
                <w:sz w:val="20"/>
              </w:rPr>
              <w:t xml:space="preserve">УК-3. Способен осуществлять социальное взаимодействие и реализовывать свою роль в команде</w:t>
            </w:r>
          </w:p>
        </w:tc>
      </w:tr>
      <w:tr>
        <w:tc>
          <w:tcPr>
            <w:tcW w:w="2211" w:type="dxa"/>
            <w:vAlign w:val="center"/>
          </w:tcPr>
          <w:p>
            <w:pPr>
              <w:pStyle w:val="0"/>
            </w:pPr>
            <w:r>
              <w:rPr>
                <w:sz w:val="20"/>
              </w:rPr>
              <w:t xml:space="preserve">Коммуникация</w:t>
            </w:r>
          </w:p>
        </w:tc>
        <w:tc>
          <w:tcPr>
            <w:tcW w:w="6860" w:type="dxa"/>
            <w:vAlign w:val="center"/>
          </w:tcPr>
          <w:p>
            <w:pPr>
              <w:pStyle w:val="0"/>
              <w:jc w:val="both"/>
            </w:pPr>
            <w:r>
              <w:rPr>
                <w:sz w:val="20"/>
              </w:rPr>
              <w:t xml:space="preserve">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tc>
          <w:tcPr>
            <w:tcW w:w="2211" w:type="dxa"/>
            <w:vAlign w:val="center"/>
          </w:tcPr>
          <w:p>
            <w:pPr>
              <w:pStyle w:val="0"/>
            </w:pPr>
            <w:r>
              <w:rPr>
                <w:sz w:val="20"/>
              </w:rPr>
              <w:t xml:space="preserve">Межкультурное взаимодействие</w:t>
            </w:r>
          </w:p>
        </w:tc>
        <w:tc>
          <w:tcPr>
            <w:tcW w:w="6860" w:type="dxa"/>
            <w:vAlign w:val="center"/>
          </w:tcPr>
          <w:p>
            <w:pPr>
              <w:pStyle w:val="0"/>
              <w:jc w:val="both"/>
            </w:pPr>
            <w:r>
              <w:rPr>
                <w:sz w:val="20"/>
              </w:rPr>
              <w:t xml:space="preserve">УК-5. Способен воспринимать межкультурное разнообразие общества в социально-историческом, этическом и философском контекстах</w:t>
            </w:r>
          </w:p>
        </w:tc>
      </w:tr>
      <w:tr>
        <w:tc>
          <w:tcPr>
            <w:tcW w:w="2211" w:type="dxa"/>
            <w:vAlign w:val="center"/>
            <w:vMerge w:val="restart"/>
          </w:tcPr>
          <w:p>
            <w:pPr>
              <w:pStyle w:val="0"/>
            </w:pPr>
            <w:r>
              <w:rPr>
                <w:sz w:val="20"/>
              </w:rPr>
              <w:t xml:space="preserve">Самоорганизация и саморазвитие (в том числе здоровьесбережение)</w:t>
            </w:r>
          </w:p>
        </w:tc>
        <w:tc>
          <w:tcPr>
            <w:tcW w:w="6860" w:type="dxa"/>
            <w:vAlign w:val="center"/>
          </w:tcPr>
          <w:p>
            <w:pPr>
              <w:pStyle w:val="0"/>
              <w:jc w:val="both"/>
            </w:pPr>
            <w:r>
              <w:rPr>
                <w:sz w:val="20"/>
              </w:rPr>
              <w:t xml:space="preserve">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tc>
          <w:tcPr>
            <w:vMerge w:val="continue"/>
          </w:tcPr>
          <w:p/>
        </w:tc>
        <w:tc>
          <w:tcPr>
            <w:tcW w:w="6860" w:type="dxa"/>
            <w:vAlign w:val="center"/>
          </w:tcPr>
          <w:p>
            <w:pPr>
              <w:pStyle w:val="0"/>
              <w:jc w:val="both"/>
            </w:pPr>
            <w:r>
              <w:rPr>
                <w:sz w:val="20"/>
              </w:rPr>
              <w:t xml:space="preserve">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tc>
          <w:tcPr>
            <w:tcW w:w="2211" w:type="dxa"/>
            <w:vAlign w:val="center"/>
          </w:tcPr>
          <w:p>
            <w:pPr>
              <w:pStyle w:val="0"/>
            </w:pPr>
            <w:r>
              <w:rPr>
                <w:sz w:val="20"/>
              </w:rPr>
              <w:t xml:space="preserve">Безопасность жизнедеятельности</w:t>
            </w:r>
          </w:p>
        </w:tc>
        <w:tc>
          <w:tcPr>
            <w:tcW w:w="6860" w:type="dxa"/>
            <w:vAlign w:val="center"/>
          </w:tcPr>
          <w:p>
            <w:pPr>
              <w:pStyle w:val="0"/>
              <w:jc w:val="both"/>
            </w:pPr>
            <w:r>
              <w:rPr>
                <w:sz w:val="20"/>
              </w:rPr>
              <w:t xml:space="preserve">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tc>
          <w:tcPr>
            <w:tcW w:w="2211" w:type="dxa"/>
            <w:vAlign w:val="center"/>
          </w:tcPr>
          <w:p>
            <w:pPr>
              <w:pStyle w:val="0"/>
            </w:pPr>
            <w:r>
              <w:rPr>
                <w:sz w:val="20"/>
              </w:rPr>
              <w:t xml:space="preserve">Инклюзивная компетентность</w:t>
            </w:r>
          </w:p>
        </w:tc>
        <w:tc>
          <w:tcPr>
            <w:tcW w:w="6860" w:type="dxa"/>
            <w:vAlign w:val="center"/>
          </w:tcPr>
          <w:p>
            <w:pPr>
              <w:pStyle w:val="0"/>
              <w:jc w:val="both"/>
            </w:pPr>
            <w:r>
              <w:rPr>
                <w:sz w:val="20"/>
              </w:rPr>
              <w:t xml:space="preserve">УК-9. Способен использовать базовые дефектологические знания в социальной и профессиональной сферах</w:t>
            </w:r>
          </w:p>
        </w:tc>
      </w:tr>
      <w:tr>
        <w:tc>
          <w:tcPr>
            <w:tcW w:w="2211" w:type="dxa"/>
            <w:vAlign w:val="center"/>
          </w:tcPr>
          <w:p>
            <w:pPr>
              <w:pStyle w:val="0"/>
            </w:pPr>
            <w:r>
              <w:rPr>
                <w:sz w:val="20"/>
              </w:rPr>
              <w:t xml:space="preserve">Экономическая культура, в том числе финансовая грамотность</w:t>
            </w:r>
          </w:p>
        </w:tc>
        <w:tc>
          <w:tcPr>
            <w:tcW w:w="6860" w:type="dxa"/>
            <w:vAlign w:val="center"/>
          </w:tcPr>
          <w:p>
            <w:pPr>
              <w:pStyle w:val="0"/>
              <w:jc w:val="both"/>
            </w:pPr>
            <w:r>
              <w:rPr>
                <w:sz w:val="20"/>
              </w:rPr>
              <w:t xml:space="preserve">УК-10. Способен принимать обоснованные экономические решения в различных областях жизнедеятельности</w:t>
            </w:r>
          </w:p>
        </w:tc>
      </w:tr>
      <w:tr>
        <w:tblPrEx>
          <w:tblBorders>
            <w:insideH w:val="nil"/>
          </w:tblBorders>
        </w:tblPrEx>
        <w:tc>
          <w:tcPr>
            <w:tcW w:w="2211" w:type="dxa"/>
            <w:vAlign w:val="center"/>
            <w:tcBorders>
              <w:bottom w:val="nil"/>
            </w:tcBorders>
          </w:tcPr>
          <w:p>
            <w:pPr>
              <w:pStyle w:val="0"/>
            </w:pPr>
            <w:r>
              <w:rPr>
                <w:sz w:val="20"/>
              </w:rPr>
              <w:t xml:space="preserve">Гражданская позиция</w:t>
            </w:r>
          </w:p>
        </w:tc>
        <w:tc>
          <w:tcPr>
            <w:tcW w:w="6860" w:type="dxa"/>
            <w:vAlign w:val="center"/>
            <w:tcBorders>
              <w:bottom w:val="nil"/>
            </w:tcBorders>
          </w:tcPr>
          <w:p>
            <w:pPr>
              <w:pStyle w:val="0"/>
              <w:jc w:val="both"/>
            </w:pPr>
            <w:r>
              <w:rPr>
                <w:sz w:val="20"/>
              </w:rPr>
              <w:t xml:space="preserve">УК-11.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22"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Приказа</w:t>
              </w:r>
            </w:hyperlink>
            <w:r>
              <w:rPr>
                <w:sz w:val="20"/>
              </w:rPr>
              <w:t xml:space="preserve"> Минобрнауки России от 27.02.2023 N 208)</w:t>
            </w:r>
          </w:p>
        </w:tc>
      </w:tr>
    </w:tbl>
    <w:p>
      <w:pPr>
        <w:pStyle w:val="0"/>
        <w:jc w:val="both"/>
      </w:pPr>
      <w:r>
        <w:rPr>
          <w:sz w:val="20"/>
        </w:rPr>
      </w:r>
    </w:p>
    <w:p>
      <w:pPr>
        <w:pStyle w:val="0"/>
        <w:ind w:firstLine="540"/>
        <w:jc w:val="both"/>
      </w:pPr>
      <w:r>
        <w:rPr>
          <w:sz w:val="20"/>
        </w:rPr>
        <w:t xml:space="preserve">3.3. Программа бакалавриата должна устанавливать следующие общепрофессиональные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Наименование категории (группы) общепрофессиональных компетенций</w:t>
            </w:r>
          </w:p>
        </w:tc>
        <w:tc>
          <w:tcPr>
            <w:tcW w:w="6860" w:type="dxa"/>
          </w:tcPr>
          <w:p>
            <w:pPr>
              <w:pStyle w:val="0"/>
              <w:jc w:val="center"/>
            </w:pPr>
            <w:r>
              <w:rPr>
                <w:sz w:val="20"/>
              </w:rPr>
              <w:t xml:space="preserve">Код и наименование общепрофессиональной компетенции выпускника</w:t>
            </w:r>
          </w:p>
        </w:tc>
      </w:tr>
      <w:tr>
        <w:tc>
          <w:tcPr>
            <w:tcW w:w="2211" w:type="dxa"/>
            <w:vAlign w:val="center"/>
          </w:tcPr>
          <w:p>
            <w:pPr>
              <w:pStyle w:val="0"/>
            </w:pPr>
            <w:r>
              <w:rPr>
                <w:sz w:val="20"/>
              </w:rPr>
              <w:t xml:space="preserve">Юридический анализ</w:t>
            </w:r>
          </w:p>
        </w:tc>
        <w:tc>
          <w:tcPr>
            <w:tcW w:w="6860" w:type="dxa"/>
            <w:vAlign w:val="center"/>
          </w:tcPr>
          <w:p>
            <w:pPr>
              <w:pStyle w:val="0"/>
              <w:jc w:val="both"/>
            </w:pPr>
            <w:r>
              <w:rPr>
                <w:sz w:val="20"/>
              </w:rPr>
              <w:t xml:space="preserve">ОПК-1. Способен анализировать основные закономерности формирования, функционирования и развития права</w:t>
            </w:r>
          </w:p>
        </w:tc>
      </w:tr>
      <w:tr>
        <w:tc>
          <w:tcPr>
            <w:tcW w:w="2211" w:type="dxa"/>
            <w:vAlign w:val="center"/>
          </w:tcPr>
          <w:p>
            <w:pPr>
              <w:pStyle w:val="0"/>
            </w:pPr>
            <w:r>
              <w:rPr>
                <w:sz w:val="20"/>
              </w:rPr>
              <w:t xml:space="preserve">Решение юридических проблем</w:t>
            </w:r>
          </w:p>
        </w:tc>
        <w:tc>
          <w:tcPr>
            <w:tcW w:w="6860" w:type="dxa"/>
            <w:vAlign w:val="center"/>
          </w:tcPr>
          <w:p>
            <w:pPr>
              <w:pStyle w:val="0"/>
              <w:jc w:val="both"/>
            </w:pPr>
            <w:r>
              <w:rPr>
                <w:sz w:val="20"/>
              </w:rPr>
              <w:t xml:space="preserve">ОПК-2. Способен применять нормы материального и процессуального права при решении задач профессиональной деятельности</w:t>
            </w:r>
          </w:p>
        </w:tc>
      </w:tr>
      <w:tr>
        <w:tc>
          <w:tcPr>
            <w:tcW w:w="2211" w:type="dxa"/>
            <w:vAlign w:val="center"/>
          </w:tcPr>
          <w:p>
            <w:pPr>
              <w:pStyle w:val="0"/>
            </w:pPr>
            <w:r>
              <w:rPr>
                <w:sz w:val="20"/>
              </w:rPr>
              <w:t xml:space="preserve">Юридическая экспертиза</w:t>
            </w:r>
          </w:p>
        </w:tc>
        <w:tc>
          <w:tcPr>
            <w:tcW w:w="6860" w:type="dxa"/>
            <w:vAlign w:val="center"/>
          </w:tcPr>
          <w:p>
            <w:pPr>
              <w:pStyle w:val="0"/>
              <w:jc w:val="both"/>
            </w:pPr>
            <w:r>
              <w:rPr>
                <w:sz w:val="20"/>
              </w:rPr>
              <w:t xml:space="preserve">ОПК-3. Способен участвовать в экспертной юридической деятельности в рамках поставленной задачи</w:t>
            </w:r>
          </w:p>
        </w:tc>
      </w:tr>
      <w:tr>
        <w:tc>
          <w:tcPr>
            <w:tcW w:w="2211" w:type="dxa"/>
            <w:vAlign w:val="center"/>
          </w:tcPr>
          <w:p>
            <w:pPr>
              <w:pStyle w:val="0"/>
            </w:pPr>
            <w:r>
              <w:rPr>
                <w:sz w:val="20"/>
              </w:rPr>
              <w:t xml:space="preserve">Толкование права</w:t>
            </w:r>
          </w:p>
        </w:tc>
        <w:tc>
          <w:tcPr>
            <w:tcW w:w="6860" w:type="dxa"/>
            <w:vAlign w:val="center"/>
          </w:tcPr>
          <w:p>
            <w:pPr>
              <w:pStyle w:val="0"/>
              <w:jc w:val="both"/>
            </w:pPr>
            <w:r>
              <w:rPr>
                <w:sz w:val="20"/>
              </w:rPr>
              <w:t xml:space="preserve">ОПК-4. Способен профессионально толковать нормы права</w:t>
            </w:r>
          </w:p>
        </w:tc>
      </w:tr>
      <w:tr>
        <w:tc>
          <w:tcPr>
            <w:tcW w:w="2211" w:type="dxa"/>
            <w:vAlign w:val="center"/>
          </w:tcPr>
          <w:p>
            <w:pPr>
              <w:pStyle w:val="0"/>
            </w:pPr>
            <w:r>
              <w:rPr>
                <w:sz w:val="20"/>
              </w:rPr>
              <w:t xml:space="preserve">Юридическая аргументация</w:t>
            </w:r>
          </w:p>
        </w:tc>
        <w:tc>
          <w:tcPr>
            <w:tcW w:w="6860" w:type="dxa"/>
            <w:vAlign w:val="center"/>
          </w:tcPr>
          <w:p>
            <w:pPr>
              <w:pStyle w:val="0"/>
              <w:jc w:val="both"/>
            </w:pPr>
            <w:r>
              <w:rPr>
                <w:sz w:val="20"/>
              </w:rPr>
              <w:t xml:space="preserve">ОПК-5. Способен логически верно, аргументированно и ясно строить устную и письменную речь с единообразным и корректным использованием профессиональной юридической лексики</w:t>
            </w:r>
          </w:p>
        </w:tc>
      </w:tr>
      <w:tr>
        <w:tc>
          <w:tcPr>
            <w:tcW w:w="2211" w:type="dxa"/>
            <w:vAlign w:val="center"/>
          </w:tcPr>
          <w:p>
            <w:pPr>
              <w:pStyle w:val="0"/>
            </w:pPr>
            <w:r>
              <w:rPr>
                <w:sz w:val="20"/>
              </w:rPr>
              <w:t xml:space="preserve">Юридическое письмо</w:t>
            </w:r>
          </w:p>
        </w:tc>
        <w:tc>
          <w:tcPr>
            <w:tcW w:w="6860" w:type="dxa"/>
            <w:vAlign w:val="center"/>
          </w:tcPr>
          <w:p>
            <w:pPr>
              <w:pStyle w:val="0"/>
              <w:jc w:val="both"/>
            </w:pPr>
            <w:r>
              <w:rPr>
                <w:sz w:val="20"/>
              </w:rPr>
              <w:t xml:space="preserve">ОПК-6. Способен участвовать в подготовке проектов нормативных правовых актов и иных юридических документов</w:t>
            </w:r>
          </w:p>
        </w:tc>
      </w:tr>
      <w:tr>
        <w:tc>
          <w:tcPr>
            <w:tcW w:w="2211" w:type="dxa"/>
            <w:vAlign w:val="center"/>
          </w:tcPr>
          <w:p>
            <w:pPr>
              <w:pStyle w:val="0"/>
            </w:pPr>
            <w:r>
              <w:rPr>
                <w:sz w:val="20"/>
              </w:rPr>
              <w:t xml:space="preserve">Профессиональная этика</w:t>
            </w:r>
          </w:p>
        </w:tc>
        <w:tc>
          <w:tcPr>
            <w:tcW w:w="6860" w:type="dxa"/>
            <w:vAlign w:val="center"/>
          </w:tcPr>
          <w:p>
            <w:pPr>
              <w:pStyle w:val="0"/>
              <w:jc w:val="both"/>
            </w:pPr>
            <w:r>
              <w:rPr>
                <w:sz w:val="20"/>
              </w:rPr>
              <w:t xml:space="preserve">ОПК-7. Способен соблюдать принципы этики юриста, в том числе в части антикоррупционных стандартов поведения</w:t>
            </w:r>
          </w:p>
        </w:tc>
      </w:tr>
      <w:tr>
        <w:tc>
          <w:tcPr>
            <w:tcW w:w="2211" w:type="dxa"/>
            <w:vAlign w:val="center"/>
            <w:tcBorders>
              <w:bottom w:val="nil"/>
            </w:tcBorders>
            <w:vMerge w:val="restart"/>
          </w:tcPr>
          <w:p>
            <w:pPr>
              <w:pStyle w:val="0"/>
            </w:pPr>
            <w:r>
              <w:rPr>
                <w:sz w:val="20"/>
              </w:rPr>
              <w:t xml:space="preserve">Информационные технологии</w:t>
            </w:r>
          </w:p>
        </w:tc>
        <w:tc>
          <w:tcPr>
            <w:tcW w:w="6860" w:type="dxa"/>
            <w:vAlign w:val="center"/>
          </w:tcPr>
          <w:p>
            <w:pPr>
              <w:pStyle w:val="0"/>
              <w:jc w:val="both"/>
            </w:pPr>
            <w:r>
              <w:rPr>
                <w:sz w:val="20"/>
              </w:rPr>
              <w:t xml:space="preserve">ОПК-8. Способен целенаправленно и эффективно получать юридически значимую информацию из различных источников, включая правовые базы данных, решать задачи профессиональной деятельности с применением информационных технологий и с учетом требований информационной безопасности</w:t>
            </w:r>
          </w:p>
        </w:tc>
      </w:tr>
      <w:tr>
        <w:tblPrEx>
          <w:tblBorders>
            <w:insideH w:val="nil"/>
          </w:tblBorders>
        </w:tblPrEx>
        <w:tc>
          <w:tcPr>
            <w:tcBorders>
              <w:bottom w:val="nil"/>
            </w:tcBorders>
            <w:vMerge w:val="continue"/>
          </w:tcPr>
          <w:p/>
        </w:tc>
        <w:tc>
          <w:tcPr>
            <w:tcW w:w="6860" w:type="dxa"/>
            <w:vAlign w:val="center"/>
            <w:tcBorders>
              <w:bottom w:val="nil"/>
            </w:tcBorders>
          </w:tcPr>
          <w:p>
            <w:pPr>
              <w:pStyle w:val="0"/>
              <w:jc w:val="both"/>
            </w:pPr>
            <w:r>
              <w:rPr>
                <w:sz w:val="20"/>
              </w:rPr>
              <w:t xml:space="preserve">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23"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Приказа</w:t>
              </w:r>
            </w:hyperlink>
            <w:r>
              <w:rPr>
                <w:sz w:val="20"/>
              </w:rPr>
              <w:t xml:space="preserve"> Минобрнауки России от 26.11.2020 N 1456)</w:t>
            </w:r>
          </w:p>
        </w:tc>
      </w:tr>
    </w:tbl>
    <w:p>
      <w:pPr>
        <w:pStyle w:val="0"/>
        <w:jc w:val="both"/>
      </w:pPr>
      <w:r>
        <w:rPr>
          <w:sz w:val="20"/>
        </w:rPr>
      </w:r>
    </w:p>
    <w:p>
      <w:pPr>
        <w:pStyle w:val="0"/>
        <w:ind w:firstLine="540"/>
        <w:jc w:val="both"/>
      </w:pPr>
      <w:r>
        <w:rPr>
          <w:sz w:val="20"/>
        </w:rPr>
        <w:t xml:space="preserve">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pPr>
        <w:pStyle w:val="0"/>
        <w:spacing w:before="200" w:lineRule="auto"/>
        <w:ind w:firstLine="540"/>
        <w:jc w:val="both"/>
      </w:pPr>
      <w:r>
        <w:rPr>
          <w:sz w:val="20"/>
        </w:rP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w:t>
      </w:r>
      <w:hyperlink w:history="0" r:id="rId24">
        <w:r>
          <w:rPr>
            <w:sz w:val="20"/>
            <w:color w:val="0000ff"/>
          </w:rPr>
          <w:t xml:space="preserve">http://profstandart.rosmintrud.ru</w:t>
        </w:r>
      </w:hyperlink>
      <w:r>
        <w:rPr>
          <w:sz w:val="20"/>
        </w:rPr>
        <w:t xml:space="preserve">) &lt;4&gt; (при наличии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5"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Пункт 1</w:t>
        </w:r>
      </w:hyperlink>
      <w:r>
        <w:rPr>
          <w:sz w:val="20"/>
        </w:rP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&lt;5&gt; и требований раздела "Требования к образованию и обучению". ОТФ может быть выделена полностью или частично.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6" w:tooltip="Приказ Минтруда России от 12.04.2013 N 148н &quot;Об утверждении уровней квалификации в целях разработки проектов профессиональных стандартов&quot; (Зарегистрировано в Минюсте России 27.05.2013 N 28534)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pPr>
        <w:pStyle w:val="0"/>
        <w:jc w:val="both"/>
      </w:pPr>
      <w:r>
        <w:rPr>
          <w:sz w:val="20"/>
        </w:rPr>
      </w:r>
    </w:p>
    <w:p>
      <w:pPr>
        <w:pStyle w:val="0"/>
        <w:ind w:firstLine="540"/>
        <w:jc w:val="both"/>
      </w:pPr>
      <w:r>
        <w:rPr>
          <w:sz w:val="20"/>
        </w:rPr>
        <w:t xml:space="preserve">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pPr>
        <w:pStyle w:val="0"/>
        <w:spacing w:before="200" w:lineRule="auto"/>
        <w:ind w:firstLine="540"/>
        <w:jc w:val="both"/>
      </w:pPr>
      <w:r>
        <w:rPr>
          <w:sz w:val="20"/>
        </w:rP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установленных в соответствии с </w:t>
      </w:r>
      <w:hyperlink w:history="0" w:anchor="P72" w:tooltip="1.11. Область профессиональной деятельности &lt;3&gt;, в которой выпускники, освоившие программу бакалавриата (далее - выпускники), могут осуществлять профессиональную деятельность:">
        <w:r>
          <w:rPr>
            <w:sz w:val="20"/>
            <w:color w:val="0000ff"/>
          </w:rPr>
          <w:t xml:space="preserve">пунктом 1.11</w:t>
        </w:r>
      </w:hyperlink>
      <w:r>
        <w:rPr>
          <w:sz w:val="20"/>
        </w:rPr>
        <w:t xml:space="preserve"> ФГОС ВО, и решать задачи профессиональной деятельности не менее чем одного типа, установленного в соответствии с </w:t>
      </w:r>
      <w:hyperlink w:history="0" w:anchor="P78" w:tooltip="1.12. В рамках освоения программы бакалавриата выпускники могут готовиться к решению задач профессиональной деятельности следующих типов:">
        <w:r>
          <w:rPr>
            <w:sz w:val="20"/>
            <w:color w:val="0000ff"/>
          </w:rPr>
          <w:t xml:space="preserve">пунктом 1.12</w:t>
        </w:r>
      </w:hyperlink>
      <w:r>
        <w:rPr>
          <w:sz w:val="20"/>
        </w:rPr>
        <w:t xml:space="preserve"> ФГОС ВО.</w:t>
      </w:r>
    </w:p>
    <w:p>
      <w:pPr>
        <w:pStyle w:val="0"/>
        <w:spacing w:before="200" w:lineRule="auto"/>
        <w:ind w:firstLine="540"/>
        <w:jc w:val="both"/>
      </w:pPr>
      <w:r>
        <w:rPr>
          <w:sz w:val="20"/>
        </w:rPr>
        <w:t xml:space="preserve">3.7. Организация устанавливает в программе бакалавриата индикаторы достижения компетенций самостоятельно.</w:t>
      </w:r>
    </w:p>
    <w:p>
      <w:pPr>
        <w:pStyle w:val="0"/>
        <w:spacing w:before="200" w:lineRule="auto"/>
        <w:ind w:firstLine="540"/>
        <w:jc w:val="both"/>
      </w:pPr>
      <w:r>
        <w:rPr>
          <w:sz w:val="20"/>
        </w:rPr>
        <w:t xml:space="preserve">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pPr>
        <w:pStyle w:val="0"/>
        <w:jc w:val="both"/>
      </w:pPr>
      <w:r>
        <w:rPr>
          <w:sz w:val="20"/>
        </w:rPr>
      </w:r>
    </w:p>
    <w:p>
      <w:pPr>
        <w:pStyle w:val="2"/>
        <w:outlineLvl w:val="1"/>
        <w:jc w:val="center"/>
      </w:pPr>
      <w:r>
        <w:rPr>
          <w:sz w:val="20"/>
        </w:rPr>
        <w:t xml:space="preserve">IV. Требования к условиям реализации программы бакалавриата</w:t>
      </w:r>
    </w:p>
    <w:p>
      <w:pPr>
        <w:pStyle w:val="0"/>
        <w:jc w:val="both"/>
      </w:pPr>
      <w:r>
        <w:rPr>
          <w:sz w:val="20"/>
        </w:rPr>
      </w:r>
    </w:p>
    <w:p>
      <w:pPr>
        <w:pStyle w:val="0"/>
        <w:ind w:firstLine="540"/>
        <w:jc w:val="both"/>
      </w:pPr>
      <w:r>
        <w:rPr>
          <w:sz w:val="20"/>
        </w:rPr>
        <w:t xml:space="preserve">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jc w:val="both"/>
      </w:pPr>
      <w:r>
        <w:rPr>
          <w:sz w:val="20"/>
        </w:rPr>
      </w:r>
    </w:p>
    <w:p>
      <w:pPr>
        <w:pStyle w:val="2"/>
        <w:outlineLvl w:val="2"/>
        <w:ind w:firstLine="540"/>
        <w:jc w:val="both"/>
      </w:pPr>
      <w:r>
        <w:rPr>
          <w:sz w:val="20"/>
        </w:rPr>
        <w:t xml:space="preserve">4.2. Общесистемные требования к реализации программы бакалавриата.</w:t>
      </w:r>
    </w:p>
    <w:p>
      <w:pPr>
        <w:pStyle w:val="0"/>
        <w:spacing w:before="200" w:lineRule="auto"/>
        <w:ind w:firstLine="540"/>
        <w:jc w:val="both"/>
      </w:pPr>
      <w:r>
        <w:rPr>
          <w:sz w:val="20"/>
        </w:rP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history="0" w:anchor="P102" w:tooltip="Блок 1">
        <w:r>
          <w:rPr>
            <w:sz w:val="20"/>
            <w:color w:val="0000ff"/>
          </w:rPr>
          <w:t xml:space="preserve">Блоку 1</w:t>
        </w:r>
      </w:hyperlink>
      <w:r>
        <w:rPr>
          <w:sz w:val="20"/>
        </w:rPr>
        <w:t xml:space="preserve"> "Дисциплины (модули)" и </w:t>
      </w:r>
      <w:hyperlink w:history="0" w:anchor="P108" w:tooltip="Блок 3">
        <w:r>
          <w:rPr>
            <w:sz w:val="20"/>
            <w:color w:val="0000ff"/>
          </w:rPr>
          <w:t xml:space="preserve">Блоку 3</w:t>
        </w:r>
      </w:hyperlink>
      <w:r>
        <w:rPr>
          <w:sz w:val="20"/>
        </w:rPr>
        <w:t xml:space="preserve"> "Государственная итоговая аттестация" в соответствии с учебным планом.</w:t>
      </w:r>
    </w:p>
    <w:p>
      <w:pPr>
        <w:pStyle w:val="0"/>
        <w:spacing w:before="200" w:lineRule="auto"/>
        <w:ind w:firstLine="540"/>
        <w:jc w:val="both"/>
      </w:pPr>
      <w:r>
        <w:rPr>
          <w:sz w:val="20"/>
        </w:rP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pPr>
        <w:pStyle w:val="0"/>
        <w:spacing w:before="200" w:lineRule="auto"/>
        <w:ind w:firstLine="540"/>
        <w:jc w:val="both"/>
      </w:pPr>
      <w:r>
        <w:rPr>
          <w:sz w:val="20"/>
        </w:rPr>
        <w:t xml:space="preserve">формирование электронного портфолио обучающегося, в том числе сохранение его работ и оценок за эти работы.</w:t>
      </w:r>
    </w:p>
    <w:p>
      <w:pPr>
        <w:pStyle w:val="0"/>
        <w:spacing w:before="200" w:lineRule="auto"/>
        <w:ind w:firstLine="540"/>
        <w:jc w:val="both"/>
      </w:pPr>
      <w:r>
        <w:rPr>
          <w:sz w:val="20"/>
        </w:rPr>
        <w:t xml:space="preserve">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pPr>
        <w:pStyle w:val="0"/>
        <w:spacing w:before="200" w:lineRule="auto"/>
        <w:ind w:firstLine="540"/>
        <w:jc w:val="both"/>
      </w:pPr>
      <w:r>
        <w:rPr>
          <w:sz w:val="20"/>
        </w:rPr>
        <w:t xml:space="preserve">фиксацию хода образовательного процесса, результатов промежуточной аттестации и результатов освоения программы бакалавриата;</w:t>
      </w:r>
    </w:p>
    <w:p>
      <w:pPr>
        <w:pStyle w:val="0"/>
        <w:spacing w:before="200" w:lineRule="auto"/>
        <w:ind w:firstLine="540"/>
        <w:jc w:val="both"/>
      </w:pPr>
      <w:r>
        <w:rPr>
          <w:sz w:val="20"/>
        </w:rPr>
        <w:t xml:space="preserve">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синхронное и (или) асинхронное взаимодействия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Федеральный </w:t>
      </w:r>
      <w:hyperlink w:history="0" r:id="rId27"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2020, N 14, ст. 2035), Федеральный </w:t>
      </w:r>
      <w:hyperlink w:history="0" r:id="rId28"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2020, N 17, ст. 2701).</w:t>
      </w:r>
    </w:p>
    <w:p>
      <w:pPr>
        <w:pStyle w:val="0"/>
        <w:jc w:val="both"/>
      </w:pPr>
      <w:r>
        <w:rPr>
          <w:sz w:val="20"/>
        </w:rPr>
      </w:r>
    </w:p>
    <w:p>
      <w:pPr>
        <w:pStyle w:val="0"/>
        <w:ind w:firstLine="540"/>
        <w:jc w:val="both"/>
      </w:pPr>
      <w:r>
        <w:rPr>
          <w:sz w:val="20"/>
        </w:rPr>
        <w:t xml:space="preserve">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программы бакалавриата.</w:t>
      </w:r>
    </w:p>
    <w:p>
      <w:pPr>
        <w:pStyle w:val="0"/>
        <w:spacing w:before="200" w:lineRule="auto"/>
        <w:ind w:firstLine="540"/>
        <w:jc w:val="both"/>
      </w:pPr>
      <w:r>
        <w:rPr>
          <w:sz w:val="20"/>
        </w:rPr>
        <w:t xml:space="preserve">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pPr>
        <w:pStyle w:val="0"/>
        <w:spacing w:before="200" w:lineRule="auto"/>
        <w:ind w:firstLine="540"/>
        <w:jc w:val="both"/>
      </w:pPr>
      <w:r>
        <w:rPr>
          <w:sz w:val="20"/>
        </w:rPr>
        <w:t xml:space="preserve">Минимальный перечень материально-технического обеспечения, необходимого для реализации программы бакалавриата, включает в себя учебный зал судебных заседаний, а также специализированные аудитории, оборудованные для проведения занятий по криминалистике и информационным технологиям.</w:t>
      </w:r>
    </w:p>
    <w:p>
      <w:pPr>
        <w:pStyle w:val="0"/>
        <w:spacing w:before="200" w:lineRule="auto"/>
        <w:ind w:firstLine="540"/>
        <w:jc w:val="both"/>
      </w:pPr>
      <w:r>
        <w:rPr>
          <w:sz w:val="20"/>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к электронной информационно-образовательной среде Организации.</w:t>
      </w:r>
    </w:p>
    <w:p>
      <w:pPr>
        <w:pStyle w:val="0"/>
        <w:spacing w:before="200" w:lineRule="auto"/>
        <w:ind w:firstLine="540"/>
        <w:jc w:val="both"/>
      </w:pPr>
      <w:r>
        <w:rPr>
          <w:sz w:val="20"/>
        </w:rPr>
        <w:t xml:space="preserve">Допускается замена оборудования его виртуальными аналогами.</w:t>
      </w:r>
    </w:p>
    <w:p>
      <w:pPr>
        <w:pStyle w:val="0"/>
        <w:spacing w:before="200" w:lineRule="auto"/>
        <w:ind w:firstLine="540"/>
        <w:jc w:val="both"/>
      </w:pPr>
      <w:r>
        <w:rPr>
          <w:sz w:val="20"/>
        </w:rPr>
        <w:t xml:space="preserve">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правовым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программы бакалавриата.</w:t>
      </w:r>
    </w:p>
    <w:p>
      <w:pPr>
        <w:pStyle w:val="0"/>
        <w:spacing w:before="200" w:lineRule="auto"/>
        <w:ind w:firstLine="540"/>
        <w:jc w:val="both"/>
      </w:pPr>
      <w:r>
        <w:rPr>
          <w:sz w:val="20"/>
        </w:rPr>
        <w:t xml:space="preserve">4.4.1. Реализация программы бакалавриата обеспечивается педагогическими работниками Организации, а также лицами, привлекаемыми к реализации программы бакалавриата на иных условиях.</w:t>
      </w:r>
    </w:p>
    <w:p>
      <w:pPr>
        <w:pStyle w:val="0"/>
        <w:spacing w:before="200" w:lineRule="auto"/>
        <w:ind w:firstLine="540"/>
        <w:jc w:val="both"/>
      </w:pPr>
      <w:r>
        <w:rPr>
          <w:sz w:val="20"/>
        </w:rPr>
        <w:t xml:space="preserve">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pPr>
        <w:pStyle w:val="0"/>
        <w:spacing w:before="200" w:lineRule="auto"/>
        <w:ind w:firstLine="540"/>
        <w:jc w:val="both"/>
      </w:pPr>
      <w:r>
        <w:rPr>
          <w:sz w:val="20"/>
        </w:rPr>
        <w:t xml:space="preserve">4.4.4. Не менее 5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pPr>
        <w:pStyle w:val="0"/>
        <w:spacing w:before="200" w:lineRule="auto"/>
        <w:ind w:firstLine="540"/>
        <w:jc w:val="both"/>
      </w:pPr>
      <w:r>
        <w:rPr>
          <w:sz w:val="20"/>
        </w:rPr>
        <w:t xml:space="preserve">4.4.5. Не менее 60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программы бакалавриата.</w:t>
      </w:r>
    </w:p>
    <w:p>
      <w:pPr>
        <w:pStyle w:val="0"/>
        <w:spacing w:before="200" w:lineRule="auto"/>
        <w:ind w:firstLine="540"/>
        <w:jc w:val="both"/>
      </w:pPr>
      <w:r>
        <w:rPr>
          <w:sz w:val="20"/>
        </w:rPr>
        <w:t xml:space="preserve">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науки и высшего образования Российской Федерации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9"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0"/>
            <w:color w:val="0000ff"/>
          </w:rPr>
          <w:t xml:space="preserve">Пункт 10</w:t>
        </w:r>
      </w:hyperlink>
      <w:r>
        <w:rPr>
          <w:sz w:val="20"/>
        </w:rP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2017, N 38, ст. 5636).</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spacing w:before="200" w:lineRule="auto"/>
        <w:ind w:firstLine="540"/>
        <w:jc w:val="both"/>
      </w:pPr>
      <w:r>
        <w:rPr>
          <w:sz w:val="20"/>
        </w:rPr>
        <w:t xml:space="preserve">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pPr>
        <w:pStyle w:val="0"/>
        <w:spacing w:before="200" w:lineRule="auto"/>
        <w:ind w:firstLine="540"/>
        <w:jc w:val="both"/>
      </w:pPr>
      <w:r>
        <w:rPr>
          <w:sz w:val="20"/>
        </w:rPr>
        <w:t xml:space="preserve">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pPr>
        <w:pStyle w:val="0"/>
        <w:spacing w:before="200" w:lineRule="auto"/>
        <w:ind w:firstLine="540"/>
        <w:jc w:val="both"/>
      </w:pPr>
      <w:r>
        <w:rPr>
          <w:sz w:val="20"/>
        </w:rPr>
        <w:t xml:space="preserve">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pPr>
        <w:pStyle w:val="0"/>
        <w:spacing w:before="200" w:lineRule="auto"/>
        <w:ind w:firstLine="540"/>
        <w:jc w:val="both"/>
      </w:pPr>
      <w:r>
        <w:rPr>
          <w:sz w:val="20"/>
        </w:rPr>
        <w:t xml:space="preserve">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pPr>
        <w:pStyle w:val="0"/>
        <w:spacing w:before="200" w:lineRule="auto"/>
        <w:ind w:firstLine="540"/>
        <w:jc w:val="both"/>
      </w:pPr>
      <w:r>
        <w:rPr>
          <w:sz w:val="20"/>
        </w:rPr>
        <w:t xml:space="preserve">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13.08.2020 N 1011</w:t>
            <w:br/>
            <w:t>(ред. от 27.02.2023)</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385079&amp;dst=103491" TargetMode = "External"/><Relationship Id="rId9" Type="http://schemas.openxmlformats.org/officeDocument/2006/relationships/hyperlink" Target="https://login.consultant.ru/link/?req=doc&amp;base=RZR&amp;n=428382&amp;dst=100721" TargetMode = "External"/><Relationship Id="rId10" Type="http://schemas.openxmlformats.org/officeDocument/2006/relationships/hyperlink" Target="https://login.consultant.ru/link/?req=doc&amp;base=RZR&amp;n=443783&amp;dst=101614" TargetMode = "External"/><Relationship Id="rId11" Type="http://schemas.openxmlformats.org/officeDocument/2006/relationships/hyperlink" Target="https://login.consultant.ru/link/?req=doc&amp;base=RZR&amp;n=526599&amp;dst=100059" TargetMode = "External"/><Relationship Id="rId12" Type="http://schemas.openxmlformats.org/officeDocument/2006/relationships/hyperlink" Target="https://login.consultant.ru/link/?req=doc&amp;base=RZR&amp;n=481262&amp;dst=100072" TargetMode = "External"/><Relationship Id="rId13" Type="http://schemas.openxmlformats.org/officeDocument/2006/relationships/hyperlink" Target="https://login.consultant.ru/link/?req=doc&amp;base=RZR&amp;n=289714&amp;dst=100015" TargetMode = "External"/><Relationship Id="rId14" Type="http://schemas.openxmlformats.org/officeDocument/2006/relationships/hyperlink" Target="https://login.consultant.ru/link/?req=doc&amp;base=RZR&amp;n=385079&amp;dst=103491" TargetMode = "External"/><Relationship Id="rId15" Type="http://schemas.openxmlformats.org/officeDocument/2006/relationships/hyperlink" Target="https://login.consultant.ru/link/?req=doc&amp;base=RZR&amp;n=428382&amp;dst=100721" TargetMode = "External"/><Relationship Id="rId16" Type="http://schemas.openxmlformats.org/officeDocument/2006/relationships/hyperlink" Target="https://login.consultant.ru/link/?req=doc&amp;base=RZR&amp;n=443783&amp;dst=101614" TargetMode = "External"/><Relationship Id="rId17" Type="http://schemas.openxmlformats.org/officeDocument/2006/relationships/hyperlink" Target="https://login.consultant.ru/link/?req=doc&amp;base=RZR&amp;n=532901&amp;dst=100249" TargetMode = "External"/><Relationship Id="rId18" Type="http://schemas.openxmlformats.org/officeDocument/2006/relationships/hyperlink" Target="https://login.consultant.ru/link/?req=doc&amp;base=RZR&amp;n=214720&amp;dst=100047" TargetMode = "External"/><Relationship Id="rId19" Type="http://schemas.openxmlformats.org/officeDocument/2006/relationships/hyperlink" Target="https://login.consultant.ru/link/?req=doc&amp;base=RZR&amp;n=214720&amp;dst=100066" TargetMode = "External"/><Relationship Id="rId20" Type="http://schemas.openxmlformats.org/officeDocument/2006/relationships/hyperlink" Target="https://login.consultant.ru/link/?req=doc&amp;base=RZR&amp;n=385079&amp;dst=103492" TargetMode = "External"/><Relationship Id="rId21" Type="http://schemas.openxmlformats.org/officeDocument/2006/relationships/hyperlink" Target="https://login.consultant.ru/link/?req=doc&amp;base=RZR&amp;n=428382&amp;dst=100721" TargetMode = "External"/><Relationship Id="rId22" Type="http://schemas.openxmlformats.org/officeDocument/2006/relationships/hyperlink" Target="https://login.consultant.ru/link/?req=doc&amp;base=RZR&amp;n=443783&amp;dst=101614" TargetMode = "External"/><Relationship Id="rId23" Type="http://schemas.openxmlformats.org/officeDocument/2006/relationships/hyperlink" Target="https://login.consultant.ru/link/?req=doc&amp;base=RZR&amp;n=385079&amp;dst=103505" TargetMode = "External"/><Relationship Id="rId24" Type="http://schemas.openxmlformats.org/officeDocument/2006/relationships/hyperlink" Target="http://profstandart.rosmintrud.ru" TargetMode = "External"/><Relationship Id="rId25" Type="http://schemas.openxmlformats.org/officeDocument/2006/relationships/hyperlink" Target="https://login.consultant.ru/link/?req=doc&amp;base=RZR&amp;n=214720&amp;dst=100006" TargetMode = "External"/><Relationship Id="rId26" Type="http://schemas.openxmlformats.org/officeDocument/2006/relationships/hyperlink" Target="https://login.consultant.ru/link/?req=doc&amp;base=RZR&amp;n=146970" TargetMode = "External"/><Relationship Id="rId27" Type="http://schemas.openxmlformats.org/officeDocument/2006/relationships/hyperlink" Target="https://login.consultant.ru/link/?req=doc&amp;base=RZR&amp;n=511583" TargetMode = "External"/><Relationship Id="rId28" Type="http://schemas.openxmlformats.org/officeDocument/2006/relationships/hyperlink" Target="https://login.consultant.ru/link/?req=doc&amp;base=RZR&amp;n=499769" TargetMode = "External"/><Relationship Id="rId29" Type="http://schemas.openxmlformats.org/officeDocument/2006/relationships/hyperlink" Target="https://login.consultant.ru/link/?req=doc&amp;base=RZR&amp;n=521255&amp;dst=10094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13.08.2020 N 1011
(ред. от 27.02.2023)
"Об утверждении федерального государственного образовательного стандарта высшего образования - бакалавриат по направлению подготовки 40.03.01 Юриспруденция"
(Зарегистрировано в Минюсте России 07.09.2020 N 59673)</dc:title>
  <dcterms:created xsi:type="dcterms:W3CDTF">2026-06-05T08:22:55Z</dcterms:created>
</cp:coreProperties>
</file>