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Минпросвещения России от 12.12.2022 N 1100</w:t>
              <w:br/>
              <w:t xml:space="preserve">(ред. от 03.07.2024)</w:t>
              <w:br/>
              <w:t xml:space="preserve">"Об утверждении федерального государственного образовательного стандарта среднего профессионального образования по специальности 43.02.16 Туризм и гостеприимство"</w:t>
              <w:br/>
              <w:t xml:space="preserve">(Зарегистрировано в Минюсте России 24.01.2023 N 72111)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05.06.2026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24 января 2023 г. N 72111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12 декабря 2022 г. N 1100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</w:t>
      </w:r>
    </w:p>
    <w:p>
      <w:pPr>
        <w:pStyle w:val="2"/>
        <w:jc w:val="center"/>
      </w:pPr>
      <w:r>
        <w:rPr>
          <w:sz w:val="20"/>
        </w:rPr>
        <w:t xml:space="preserve">ФЕДЕРАЛЬНОГО ГОСУДАРСТВЕННОГО ОБРАЗОВАТЕЛЬНОГО СТАНДАРТА</w:t>
      </w:r>
    </w:p>
    <w:p>
      <w:pPr>
        <w:pStyle w:val="2"/>
        <w:jc w:val="center"/>
      </w:pPr>
      <w:r>
        <w:rPr>
          <w:sz w:val="20"/>
        </w:rPr>
        <w:t xml:space="preserve">СРЕДНЕГО ПРОФЕССИОНАЛЬНОГО ОБРАЗОВАНИЯ ПО СПЕЦИАЛЬНОСТИ</w:t>
      </w:r>
    </w:p>
    <w:p>
      <w:pPr>
        <w:pStyle w:val="2"/>
        <w:jc w:val="center"/>
      </w:pPr>
      <w:r>
        <w:rPr>
          <w:sz w:val="20"/>
        </w:rPr>
        <w:t xml:space="preserve">43.02.16 ТУРИЗМ И ГОСТЕПРИИМСТВО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8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Минпросвещения России от 03.07.2024 N 464)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9" w:tooltip="Постановление Правительства РФ от 28.07.2018 N 884 (ред. от 23.04.2026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подпунктом 4.2.30 пункта 4</w:t>
        </w:r>
      </w:hyperlink>
      <w:r>
        <w:rPr>
          <w:sz w:val="20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и </w:t>
      </w:r>
      <w:hyperlink w:history="0" r:id="rId10" w:tooltip="Постановление Правительства РФ от 12.04.2019 N 434 (ред. от 20.07.2024) &quot;Об утверждении Правил разработки,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пунктом 27</w:t>
        </w:r>
      </w:hyperlink>
      <w:r>
        <w:rPr>
          <w:sz w:val="20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прилагаемый федеральный государственный образовательный </w:t>
      </w:r>
      <w:hyperlink w:history="0" w:anchor="P34" w:tooltip="ФЕДЕРАЛЬНЫЙ ГОСУДАРСТВЕННЫЙ ОБРАЗОВАТЕЛЬНЫЙ СТАНДАРТ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среднего профессионального образования по специальности 43.02.16 Туризм и гостеприимство (далее - стандарт).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Установить, что: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образовательная организация вправе осуществлять в соответствии со </w:t>
      </w:r>
      <w:hyperlink w:history="0" w:anchor="P34" w:tooltip="ФЕДЕРАЛЬНЫЙ ГОСУДАРСТВЕННЫЙ ОБРАЗОВАТЕЛЬНЫЙ СТАНДАРТ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обучение лиц, зачисленных до вступления в силу настоящего приказа, с их согласия;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прием на обучение в соответствии с федеральным государственным образовательным </w:t>
      </w:r>
      <w:hyperlink w:history="0" r:id="rId11" w:tooltip="Приказ Минобрнауки России от 07.05.2014 N 474 (ред. от 13.07.2021) &quot;Об утверждении федерального государственного образовательного стандарта среднего профессионального образования по специальности 43.02.10 Туризм&quot; (Зарегистрировано в Минюсте России 19.06.2014 N 32806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среднего профессионального образования по специальности </w:t>
      </w:r>
      <w:hyperlink w:history="0" r:id="rId12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<w:r>
          <w:rPr>
            <w:sz w:val="20"/>
            <w:color w:val="0000ff"/>
          </w:rPr>
          <w:t xml:space="preserve">43.02.10</w:t>
        </w:r>
      </w:hyperlink>
      <w:r>
        <w:rPr>
          <w:sz w:val="20"/>
        </w:rPr>
        <w:t xml:space="preserve"> Туризм, утвержденным приказом Министерства образования и науки Российской Федерации от 7 мая 2014 г. N 474 (зарегистрирован Министерством юстиции Российской Федерации 19 июня 2014 г., регистрационный N 32806), с изменениями, внесенными приказом Министерства просвещения Российской Федерации от 13 июля 2021 г. N 450 (зарегистрирован Министерством юстиции Российской Федерации 14 октября 2021 г., регистрационный N 65410), и федеральным государственным образовательным </w:t>
      </w:r>
      <w:hyperlink w:history="0" r:id="rId13" w:tooltip="Приказ Минобрнауки России от 09.12.2016 N 1552 (ред. от 17.12.2020) &quot;Об утверждении федерального государственного образовательного стандарта среднего профессионального образования по специальности 43.02.14 Гостиничное дело&quot; (Зарегистрировано в Минюсте России 26.12.2016 N 44974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среднего профессионального образования по специальности </w:t>
      </w:r>
      <w:hyperlink w:history="0" r:id="rId14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<w:r>
          <w:rPr>
            <w:sz w:val="20"/>
            <w:color w:val="0000ff"/>
          </w:rPr>
          <w:t xml:space="preserve">43.02.14</w:t>
        </w:r>
      </w:hyperlink>
      <w:r>
        <w:rPr>
          <w:sz w:val="20"/>
        </w:rPr>
        <w:t xml:space="preserve"> Гостиничное дело, утвержденным приказом Министерства образования и науки Российской Федерации от 9 декабря 2016 г. N 1552 (зарегистрирован Министерством юстиции Российской Федерации 26 декабря 2016 г., регистрационный N 44974), с изменениями, внесенными приказом Министерства просвещения Российской Федерации от 17 декабря 2020 г. N 747 (зарегистрирован Министерством юстиции Российской Федерации 22 января 2021 г., регистрационный N 62178), прекращается с 1 февраля 2023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С.С.КРАВЦОВ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12 декабря 2022 г. N 1100</w:t>
      </w:r>
    </w:p>
    <w:p>
      <w:pPr>
        <w:pStyle w:val="0"/>
        <w:jc w:val="both"/>
      </w:pPr>
      <w:r>
        <w:rPr>
          <w:sz w:val="20"/>
        </w:rPr>
      </w:r>
    </w:p>
    <w:bookmarkStart w:id="34" w:name="P34"/>
    <w:bookmarkEnd w:id="34"/>
    <w:p>
      <w:pPr>
        <w:pStyle w:val="2"/>
        <w:jc w:val="center"/>
      </w:pPr>
      <w:r>
        <w:rPr>
          <w:sz w:val="20"/>
        </w:rPr>
        <w:t xml:space="preserve">ФЕДЕРАЛЬНЫЙ ГОСУДАРСТВЕННЫЙ ОБРАЗОВАТЕЛЬНЫЙ СТАНДАРТ</w:t>
      </w:r>
    </w:p>
    <w:p>
      <w:pPr>
        <w:pStyle w:val="2"/>
        <w:jc w:val="center"/>
      </w:pPr>
      <w:r>
        <w:rPr>
          <w:sz w:val="20"/>
        </w:rPr>
        <w:t xml:space="preserve">СРЕДНЕГО ПРОФЕССИОНАЛЬНОГО ОБРАЗОВАНИЯ ПО СПЕЦИАЛЬНОСТИ</w:t>
      </w:r>
    </w:p>
    <w:p>
      <w:pPr>
        <w:pStyle w:val="2"/>
        <w:jc w:val="center"/>
      </w:pPr>
      <w:r>
        <w:rPr>
          <w:sz w:val="20"/>
        </w:rPr>
        <w:t xml:space="preserve">43.02.16 ТУРИЗМ И ГОСТЕПРИИМСТВО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5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Минпросвещения России от 03.07.2024 N 464)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bookmarkStart w:id="42" w:name="P42"/>
    <w:bookmarkEnd w:id="42"/>
    <w:p>
      <w:pPr>
        <w:pStyle w:val="0"/>
        <w:ind w:firstLine="540"/>
        <w:jc w:val="both"/>
      </w:pPr>
      <w:r>
        <w:rPr>
          <w:sz w:val="20"/>
        </w:rP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</w:t>
      </w:r>
      <w:hyperlink w:history="0" r:id="rId16" w:tooltip="Приказ Минпросвещения России от 17.05.2022 N 336 (ред. от 19.02.2026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43.02.16</w:t>
        </w:r>
      </w:hyperlink>
      <w:r>
        <w:rPr>
          <w:sz w:val="20"/>
        </w:rPr>
        <w:t xml:space="preserve"> Туризм и гостеприимство (далее соответственно - ФГОС СПО, образовательная программа, специальность) в соответствии с квалификацией специалиста среднего звена "специалист по туризму и гостеприимству" &lt;1&gt;.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17" w:tooltip="Приказ Минпросвещения России от 17.05.2022 N 336 (ред. от 19.02.2026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специальностей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1.2.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w:history="0" r:id="rId18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sz w:val="20"/>
            <w:color w:val="0000ff"/>
          </w:rPr>
          <w:t xml:space="preserve">стандарта</w:t>
        </w:r>
      </w:hyperlink>
      <w:r>
        <w:rPr>
          <w:sz w:val="20"/>
        </w:rPr>
        <w:t xml:space="preserve"> среднего общего образования &lt;2&gt;, ФГОС СПО и положений федеральной основной общеобразовательной программы среднего общего образования с учетом получаемой специальности.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9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Федеральный государственный образовательный </w:t>
      </w:r>
      <w:hyperlink w:history="0" r:id="rId20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61828), от 12 августа 2022 г. N 732 (зарегистрирован Министерством юстиции Российской Федерации 12 сентября 2022 г., регистрационный N 70034) и от 27 декабря 2023 г. N 1028 (зарегистрирован Министерством юстиции Российской Федерации 2 февраля 2024 г., регистрационный N 77121).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1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1.4. Обучение по образовательной программе в образовательной организации осуществляется в очной, очно-заочной и заочной формах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 &lt;3&gt;.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2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</w:t>
      </w:r>
      <w:hyperlink w:history="0" r:id="rId23" w:tooltip="Федеральный закон от 29.12.2012 N 273-ФЗ (ред. от 25.04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 2 статьи 12.1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2022, N 39, ст. 6541).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</w:t>
      </w:r>
      <w:hyperlink w:history="0" r:id="rId24" w:tooltip="Федеральный закон от 29.12.2012 N 273-ФЗ (ред. от 25.04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Статья 14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>
      <w:pPr>
        <w:pStyle w:val="0"/>
        <w:jc w:val="both"/>
      </w:pPr>
      <w:r>
        <w:rPr>
          <w:sz w:val="20"/>
        </w:rPr>
      </w:r>
    </w:p>
    <w:bookmarkStart w:id="67" w:name="P67"/>
    <w:bookmarkEnd w:id="67"/>
    <w:p>
      <w:pPr>
        <w:pStyle w:val="0"/>
        <w:ind w:firstLine="540"/>
        <w:jc w:val="both"/>
      </w:pPr>
      <w:r>
        <w:rPr>
          <w:sz w:val="20"/>
        </w:rPr>
        <w:t xml:space="preserve"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базе среднего общего образования - 1 год 10 месяцев;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базе основного общего образования - 2 года 10 месяцев.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образования по образовательной программе в очно-заочной и заочной формах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 не более чем на 1 год.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1.10. При обучении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образования, установленного для соответствующей формы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 по сравнению со сроком получения образования для соответствующей формы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1.11. Конкретный срок получения образования в очно-заочной и заочной формах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hyperlink w:history="0" w:anchor="P67" w:tooltip="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">
        <w:r>
          <w:rPr>
            <w:sz w:val="20"/>
            <w:color w:val="0000ff"/>
          </w:rPr>
          <w:t xml:space="preserve">пунктом 1.9</w:t>
        </w:r>
      </w:hyperlink>
      <w:r>
        <w:rPr>
          <w:sz w:val="20"/>
        </w:rPr>
        <w:t xml:space="preserve"> ФГОС СПО.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1.13. Срок получения образования по образовательной программе, реализуемой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а также объем такой образовательной программы могут быть уменьшены с учетом соответствующей ПОП, но не более чем на 40 процентов от срока получения образования и объема образовательной программы, установленных настоящим ФГОС СПО &lt;5&gt;.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5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&lt;5&gt; </w:t>
      </w:r>
      <w:hyperlink w:history="0" r:id="rId26" w:tooltip="Постановление Правительства РФ от 16.03.2022 N 387 &quot;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&quot;Профессионалитет&quot; (вместе с &quot;Положением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&quot;Профес ------------ Утратил силу или отменен {КонсультантПлюс}">
        <w:r>
          <w:rPr>
            <w:sz w:val="20"/>
            <w:color w:val="0000ff"/>
          </w:rPr>
          <w:t xml:space="preserve">Пункт 11</w:t>
        </w:r>
      </w:hyperlink>
      <w:r>
        <w:rPr>
          <w:sz w:val="20"/>
        </w:rPr>
        <w:t xml:space="preserve"> Положения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утвержденного постановлением Правительства Российской Федерации от 16 марта 2022 г. N 387 (Собрание законодательства Российской Федерации, 2022, N 12, ст. 1871).</w:t>
      </w:r>
    </w:p>
    <w:p>
      <w:pPr>
        <w:pStyle w:val="0"/>
        <w:jc w:val="both"/>
      </w:pPr>
      <w:r>
        <w:rPr>
          <w:sz w:val="20"/>
        </w:rPr>
      </w:r>
    </w:p>
    <w:bookmarkStart w:id="80" w:name="P80"/>
    <w:bookmarkEnd w:id="80"/>
    <w:p>
      <w:pPr>
        <w:pStyle w:val="0"/>
        <w:ind w:firstLine="540"/>
        <w:jc w:val="both"/>
      </w:pPr>
      <w:r>
        <w:rPr>
          <w:sz w:val="20"/>
        </w:rPr>
        <w:t xml:space="preserve">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hyperlink w:history="0" r:id="rId27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33</w:t>
        </w:r>
      </w:hyperlink>
      <w:r>
        <w:rPr>
          <w:sz w:val="20"/>
        </w:rPr>
        <w:t xml:space="preserve">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прочее) &lt;6&gt;.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&lt;6&gt; </w:t>
      </w:r>
      <w:hyperlink w:history="0" r:id="rId28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Таблица</w:t>
        </w:r>
      </w:hyperlink>
      <w:r>
        <w:rPr>
          <w:sz w:val="20"/>
        </w:rP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34779),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1.15. При разработке образовательной программы образовательная организация устанавливает направленность, которая конкретизирует содержание программы путем ориентации на виды деятельности, с учетом соответствующей ПОП.</w:t>
      </w:r>
    </w:p>
    <w:p>
      <w:pPr>
        <w:pStyle w:val="0"/>
        <w:jc w:val="both"/>
      </w:pPr>
      <w:r>
        <w:rPr>
          <w:sz w:val="20"/>
        </w:rPr>
        <w:t xml:space="preserve">(п. 1.15 в ред. </w:t>
      </w:r>
      <w:hyperlink w:history="0" r:id="rId29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ТРЕБОВАНИЯ К СТРУКТУРЕ ОБРАЗОВАТЕЛЬНОЙ ПРОГРАММЫ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Структура и объем образовательной программы </w:t>
      </w:r>
      <w:hyperlink w:history="0" w:anchor="P97" w:tooltip="Структура и объем образовательной программы">
        <w:r>
          <w:rPr>
            <w:sz w:val="20"/>
            <w:color w:val="0000ff"/>
          </w:rPr>
          <w:t xml:space="preserve">(таблица N 1)</w:t>
        </w:r>
      </w:hyperlink>
      <w:r>
        <w:rPr>
          <w:sz w:val="20"/>
        </w:rPr>
        <w:t xml:space="preserve"> включает: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дисциплины (модули);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практику;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государственную итоговую аттестацию.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N 1</w:t>
      </w:r>
    </w:p>
    <w:p>
      <w:pPr>
        <w:pStyle w:val="0"/>
        <w:jc w:val="both"/>
      </w:pPr>
      <w:r>
        <w:rPr>
          <w:sz w:val="20"/>
        </w:rPr>
      </w:r>
    </w:p>
    <w:bookmarkStart w:id="97" w:name="P97"/>
    <w:bookmarkEnd w:id="97"/>
    <w:p>
      <w:pPr>
        <w:pStyle w:val="0"/>
        <w:jc w:val="center"/>
      </w:pPr>
      <w:r>
        <w:rPr>
          <w:sz w:val="20"/>
        </w:rPr>
        <w:t xml:space="preserve">Структура и объем образовательной программы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56"/>
        <w:gridCol w:w="3798"/>
      </w:tblGrid>
      <w:tr>
        <w:tc>
          <w:tcPr>
            <w:tcW w:w="525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Структура образовательной программы</w:t>
            </w:r>
          </w:p>
        </w:tc>
        <w:tc>
          <w:tcPr>
            <w:tcW w:w="37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образовательной программы, в академических часах</w:t>
            </w:r>
          </w:p>
        </w:tc>
      </w:tr>
      <w:tr>
        <w:tc>
          <w:tcPr>
            <w:tcW w:w="5256" w:type="dxa"/>
          </w:tcPr>
          <w:p>
            <w:pPr>
              <w:pStyle w:val="0"/>
            </w:pPr>
            <w:r>
              <w:rPr>
                <w:sz w:val="20"/>
              </w:rPr>
              <w:t xml:space="preserve">Дисциплины (модули)</w:t>
            </w:r>
          </w:p>
        </w:tc>
        <w:tc>
          <w:tcPr>
            <w:tcW w:w="37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1476</w:t>
            </w:r>
          </w:p>
        </w:tc>
      </w:tr>
      <w:tr>
        <w:tc>
          <w:tcPr>
            <w:tcW w:w="5256" w:type="dxa"/>
          </w:tcPr>
          <w:p>
            <w:pPr>
              <w:pStyle w:val="0"/>
            </w:pPr>
            <w:r>
              <w:rPr>
                <w:sz w:val="20"/>
              </w:rPr>
              <w:t xml:space="preserve">Практика</w:t>
            </w:r>
          </w:p>
        </w:tc>
        <w:tc>
          <w:tcPr>
            <w:tcW w:w="37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432</w:t>
            </w:r>
          </w:p>
        </w:tc>
      </w:tr>
      <w:tr>
        <w:tc>
          <w:tcPr>
            <w:tcW w:w="5256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Государственная итоговая аттестация</w:t>
            </w:r>
          </w:p>
        </w:tc>
        <w:tc>
          <w:tcPr>
            <w:tcW w:w="37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</w:t>
            </w:r>
          </w:p>
        </w:tc>
      </w:tr>
      <w:tr>
        <w:tc>
          <w:tcPr>
            <w:gridSpan w:val="2"/>
            <w:tcW w:w="90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Общий объем образовательной программы:</w:t>
            </w:r>
          </w:p>
        </w:tc>
      </w:tr>
      <w:tr>
        <w:tc>
          <w:tcPr>
            <w:tcW w:w="5256" w:type="dxa"/>
          </w:tcPr>
          <w:p>
            <w:pPr>
              <w:pStyle w:val="0"/>
            </w:pPr>
            <w:r>
              <w:rPr>
                <w:sz w:val="20"/>
              </w:rPr>
              <w:t xml:space="preserve">на базе среднего общего образования</w:t>
            </w:r>
          </w:p>
        </w:tc>
        <w:tc>
          <w:tcPr>
            <w:tcW w:w="37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2952</w:t>
            </w:r>
          </w:p>
        </w:tc>
      </w:tr>
      <w:tr>
        <w:tc>
          <w:tcPr>
            <w:tcW w:w="5256" w:type="dxa"/>
          </w:tcPr>
          <w:p>
            <w:pPr>
              <w:pStyle w:val="0"/>
            </w:pPr>
            <w:r>
              <w:rPr>
                <w:sz w:val="20"/>
              </w:rPr>
              <w:t xml:space="preserve"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37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4428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2.2. Образовательная программа включает циклы: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социально-гуманитарный цикл;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общепрофессиональный цикл;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профессиональный цикл.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history="0" w:anchor="P147" w:tooltip="III. ТРЕБОВАНИЯ К РЕЗУЛЬТАТАМ ОСВОЕНИЯ">
        <w:r>
          <w:rPr>
            <w:sz w:val="20"/>
            <w:color w:val="0000ff"/>
          </w:rPr>
          <w:t xml:space="preserve">главой III</w:t>
        </w:r>
      </w:hyperlink>
      <w:r>
        <w:rPr>
          <w:sz w:val="20"/>
        </w:rPr>
        <w:t xml:space="preserve"> ФГОС СПО.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Вариативная часть образовательной программы объемом не менее 30 процентов от общего объема времени, отведенного на освоение образовательной программы, дает возможность дальнейшего развития общих и профессиональных компетенций,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 экономики.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0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bookmarkStart w:id="123" w:name="P123"/>
    <w:bookmarkEnd w:id="12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1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и контроль текущей деятельности служб предприятий туризма и гостеприимства;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предоставление туроператорских и турагентских услуг (по выбору);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предоставление экскурсионных услуг (по выбору);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предоставление гостиничных услуг (по выбору);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предоставление услуг предприятия питания (по выбору).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history="0" w:anchor="P123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sz w:val="20"/>
            <w:color w:val="0000ff"/>
          </w:rPr>
          <w:t xml:space="preserve">пункте 2.4</w:t>
        </w:r>
      </w:hyperlink>
      <w:r>
        <w:rPr>
          <w:sz w:val="20"/>
        </w:rPr>
        <w:t xml:space="preserve"> ФГОС СПО, в рамках вариативной части.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обучения, не менее 25 процентов - в Очно-заочной форме обучения и не менее 10 процентов - в заочной форме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финансовой грамотности", "Основы бережливого производства".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Общий объем дисциплины "Безопасность жизнедеятельности" в очной форме обучения не может быть менее 68 академических часов, из них на освоение основ военной службы (для юношей) - не менее 48 академических часов; для подгрупп девушек это время может быть использовано на освоение основ медицинских знаний.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2.8. Обязательная часть общепрофессионального цикла образовательной программы должна предусматривать изучение следующих дисциплин: "Сервисная деятельность в туризме и гостеприимстве", "Предпринимательская деятельность в сфере туризма и гостиничного бизнеса", "Правовое и документационное обеспечение в туризме и гостеприимстве", "Менеджмент в туризме и гостеприимстве", "Информационно-коммуникационные технологии в туризме и гостеприимстве", "Экономика и бухгалтерский учет предприятий туризма и гостиничного дела", "Иностранный язык" (второй), "Психология делового общения и конфликтология".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2.9. Профессиональный цикл образовательной программы включает профессиональные модули, которые формируются в соответствии с выбранными видами деятельности, предусмотренными </w:t>
      </w:r>
      <w:hyperlink w:history="0" w:anchor="P123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sz w:val="20"/>
            <w:color w:val="0000ff"/>
          </w:rPr>
          <w:t xml:space="preserve">пунктом 2.4</w:t>
        </w:r>
      </w:hyperlink>
      <w:r>
        <w:rPr>
          <w:sz w:val="20"/>
        </w:rP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4 зачетных единиц.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2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рассредоточенно, чередуясь с учебными занятиями. Типы практики устанавливаются образовательной организацией самостоятельно с учетом ПОП.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3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2.12. Государственная итоговая аттестация проводится в форме демонстрационного экзамена и защиты дипломного проекта (работы).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2.13. Государственная итоговая аттестация завершается присвоением квалификации специалиста среднего звена, указанной в </w:t>
      </w:r>
      <w:hyperlink w:history="0" w:anchor="P42" w:tooltip="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43.02.16 Туризм и гостеприимство (далее соответственно - ФГОС СПО, образовательная программа, специальность) в соответствии с квалификацией специалиста среднего звена &quot;специалист по туризму и гостепри...">
        <w:r>
          <w:rPr>
            <w:sz w:val="20"/>
            <w:color w:val="0000ff"/>
          </w:rPr>
          <w:t xml:space="preserve">пункте 1.1</w:t>
        </w:r>
      </w:hyperlink>
      <w:r>
        <w:rPr>
          <w:sz w:val="20"/>
        </w:rPr>
        <w:t xml:space="preserve"> ФГОС СПО.</w:t>
      </w:r>
    </w:p>
    <w:p>
      <w:pPr>
        <w:pStyle w:val="0"/>
        <w:jc w:val="both"/>
      </w:pPr>
      <w:r>
        <w:rPr>
          <w:sz w:val="20"/>
        </w:rPr>
      </w:r>
    </w:p>
    <w:bookmarkStart w:id="147" w:name="P147"/>
    <w:bookmarkEnd w:id="147"/>
    <w:p>
      <w:pPr>
        <w:pStyle w:val="2"/>
        <w:outlineLvl w:val="1"/>
        <w:jc w:val="center"/>
      </w:pPr>
      <w:r>
        <w:rPr>
          <w:sz w:val="20"/>
        </w:rPr>
        <w:t xml:space="preserve">III. ТРЕБОВАНИЯ К РЕЗУЛЬТАТАМ ОСВОЕНИЯ</w:t>
      </w:r>
    </w:p>
    <w:p>
      <w:pPr>
        <w:pStyle w:val="2"/>
        <w:jc w:val="center"/>
      </w:pPr>
      <w:r>
        <w:rPr>
          <w:sz w:val="20"/>
        </w:rPr>
        <w:t xml:space="preserve">ОБРАЗОВАТЕЛЬНОЙ ПРОГРАММЫ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В результате освоения образовательной программы у выпускника должны быть сформированы общие и профессиональные компетенции.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 Выпускник, освоивший образовательную программу, должен обладать следующими общими компетенциями (далее - ОК):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01. Выбирать способы решения задач профессиональной деятельности применительно к различным контекстам;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04. Эффективно взаимодействовать и работать в коллективе и команде;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09. Пользоваться профессиональной документацией на государственном и иностранном языках.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выбранным видам деятельности (таблица N 2), предусмотренным </w:t>
      </w:r>
      <w:hyperlink w:history="0" w:anchor="P123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sz w:val="20"/>
            <w:color w:val="0000ff"/>
          </w:rPr>
          <w:t xml:space="preserve">пунктом 2.4</w:t>
        </w:r>
      </w:hyperlink>
      <w:r>
        <w:rPr>
          <w:sz w:val="20"/>
        </w:rPr>
        <w:t xml:space="preserve"> ФГОС СПО, сформированными в том числе на основе профессиональных стандартов (при наличии), указанных в ПОП: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4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N 2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494"/>
        <w:gridCol w:w="6576"/>
      </w:tblGrid>
      <w:tr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деятельности</w:t>
            </w:r>
          </w:p>
        </w:tc>
        <w:tc>
          <w:tcPr>
            <w:tcW w:w="65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Профессиональные компетенции, соответствующие видам деятельности</w:t>
            </w:r>
          </w:p>
        </w:tc>
      </w:tr>
      <w:tr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5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организация и контроль текущей деятельности служб предприятий туризма и гостеприимства</w:t>
            </w:r>
          </w:p>
        </w:tc>
        <w:tc>
          <w:tcPr>
            <w:tcW w:w="657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 1.1. Планировать текущую деятельность сотрудников служб предприятий туризма и гостеприимства.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1.2. Организовывать текущую деятельность сотрудников служб предприятий туризма и гостеприимства.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1.3. Координировать и контролировать деятельность сотрудников служб предприятий туризма и гостеприимства.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1.4. Осуществлять расчеты с потребителями за предоставленные услуги.</w:t>
            </w:r>
          </w:p>
        </w:tc>
      </w:tr>
      <w:tr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туроператорских и турагентских услуг (по выбору)</w:t>
            </w:r>
          </w:p>
        </w:tc>
        <w:tc>
          <w:tcPr>
            <w:tcW w:w="657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 2.1. Оформлять и обрабатывать заказы клиентов.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2.2. Координировать работу по реализации заказа.</w:t>
            </w:r>
          </w:p>
        </w:tc>
      </w:tr>
      <w:tr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экскурсионных услуг (по выбору)</w:t>
            </w:r>
          </w:p>
        </w:tc>
        <w:tc>
          <w:tcPr>
            <w:tcW w:w="657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 2.1. Формировать группы туристов, выполнять регистрацию группы в аварийно-спасательных службах.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2.2. Сопровождать туристов при прохождении маршрута (по видам туризма).</w:t>
            </w:r>
          </w:p>
        </w:tc>
      </w:tr>
      <w:tr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гостиничных услуг (по выбору)</w:t>
            </w:r>
          </w:p>
        </w:tc>
        <w:tc>
          <w:tcPr>
            <w:tcW w:w="657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 2.1. Организовывать и осуществлять прием и размещение гостей.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2.2. Организовывать и осуществлять эксплуатацию номерного фонда гостиничного предприятия.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2.3. Организовывать и осуществлять бронирование и продажу гостиничных услуг.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2.4. Выполнять санитарно-эпидемиологические требования к предоставлению гостиничных услуг.</w:t>
            </w:r>
          </w:p>
        </w:tc>
      </w:tr>
      <w:tr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услуг предприятия питания (по выбору)</w:t>
            </w:r>
          </w:p>
        </w:tc>
        <w:tc>
          <w:tcPr>
            <w:tcW w:w="657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 2.1. Выявлять потребности и формировать спрос на продукцию и услуги общественного питания.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2.2. Организовывать выпуск продукции в предприятиях общественного питания.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2.3. Организовывать деятельность и осуществлять обслуживание в организациях питания в соответствии с санитарными нормами и правилами.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2.4. Контролировать качество продукции и услуг общественного питания.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history="0" w:anchor="P123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sz w:val="20"/>
            <w:color w:val="0000ff"/>
          </w:rPr>
          <w:t xml:space="preserve">пунктом 2.4</w:t>
        </w:r>
      </w:hyperlink>
      <w:r>
        <w:rPr>
          <w:sz w:val="20"/>
        </w:rPr>
        <w:t xml:space="preserve"> ФГОС СПО, а также по видам деятельности, сформированным в вариативной части образовательной программы для учета потребностей регионального рынка труда.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3.5. 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5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 Обучающиеся, осваивающие образовательную программу, осваивают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 &lt;7&gt;.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&lt;7&gt; </w:t>
      </w:r>
      <w:hyperlink w:history="0" r:id="rId36" w:tooltip="Федеральный закон от 29.12.2012 N 273-ФЗ (ред. от 25.04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 7 статьи 73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22, ст. 3379).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ТРЕБОВАНИЯ К УСЛОВИЯМ РЕАЛИЗАЦИИ</w:t>
      </w:r>
    </w:p>
    <w:p>
      <w:pPr>
        <w:pStyle w:val="2"/>
        <w:jc w:val="center"/>
      </w:pPr>
      <w:r>
        <w:rPr>
          <w:sz w:val="20"/>
        </w:rPr>
        <w:t xml:space="preserve">ОБРАЗОВАТЕЛЬНОЙ ПРОГРАММЫ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 &lt;8&gt;.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&lt;8&gt; Федеральный </w:t>
      </w:r>
      <w:hyperlink w:history="0" r:id="rId37" w:tooltip="Федеральный закон от 30.03.1999 N 52-ФЗ (ред. от 31.07.2025) &quot;О санитарно-эпидемиологическом благополучии населения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30 марта 1999 г. N 52-ФЗ "О санитарно-эпидемиологическом благополучии населения" (Собрание законодательства Российской Федерации, 1999, N 14, ст. 1650; 2022, N 45, ст. 7674); санитарные правила </w:t>
      </w:r>
      <w:hyperlink w:history="0" r:id="rId38" w:tooltip="Постановление Главного государственного санитарного врача РФ от 28.09.2020 N 28 (ред. от 24.12.2025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П 2.4.3648-20. Санитарные правила...&quot;) (Зарегистрировано в Минюсте России 18.12.2020 N 61573) {КонсультантПлюс}">
        <w:r>
          <w:rPr>
            <w:sz w:val="20"/>
            <w:color w:val="0000ff"/>
          </w:rPr>
          <w:t xml:space="preserve">СП 2.4.3648-20</w:t>
        </w:r>
      </w:hyperlink>
      <w:r>
        <w:rPr>
          <w:sz w:val="20"/>
        </w:rP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действующим до 1 января 2027 г.; санитарно-эпидемиологические правила и нормы </w:t>
      </w:r>
      <w:hyperlink w:history="0" r:id="rId39" w:tooltip="Постановление Главного государственного санитарного врача РФ от 27.10.2020 N 32 (ред. от 22.08.2024)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населения&quot; (вместе с &quot;СанПиН 2.3/2.4.3590-20. Санитарно-эпидемиологические правила и нормы...&quot;) (Зарегистрировано в Минюсте России 11.11.2020 N 60833) {КонсультантПлюс}">
        <w:r>
          <w:rPr>
            <w:sz w:val="20"/>
            <w:color w:val="0000ff"/>
          </w:rPr>
          <w:t xml:space="preserve">СанПиН 2.3/2.4.3590-20</w:t>
        </w:r>
      </w:hyperlink>
      <w:r>
        <w:rPr>
          <w:sz w:val="20"/>
        </w:rPr>
        <w:t xml:space="preserve">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60833), действующим до 1 января 2027 г.; санитарные правила и нормы </w:t>
      </w:r>
      <w:hyperlink w:history="0" r:id="rId40" w:tooltip="Постановление Главного государственного санитарного врача РФ от 28.01.2021 N 2 (ред. от 24.12.2025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(с изм. и доп., вступ. в силу с 01.03.2026) {КонсультантПлюс}">
        <w:r>
          <w:rPr>
            <w:sz w:val="20"/>
            <w:color w:val="0000ff"/>
          </w:rPr>
          <w:t xml:space="preserve">СанПиН 1.2.3685-21</w:t>
        </w:r>
      </w:hyperlink>
      <w:r>
        <w:rPr>
          <w:sz w:val="20"/>
        </w:rP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действующим до 1 марта 2027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4.3. Общесистемные требования к условиям реализации образовательной программы: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1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4.4. Требования к материально-техническому и учебно-методическому обеспечению реализации образовательной программы: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допускается замена оборудования его виртуальными аналогами;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в качестве основной литературы образовательная организация использует учебники, учебные пособия, предусмотренные ПОП;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2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3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4.5. Требования к кадровым условиям реализации образовательной программы: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</w:t>
      </w:r>
      <w:hyperlink w:history="0" w:anchor="P80" w:tooltip="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33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очее) &lt;6&gt;.">
        <w:r>
          <w:rPr>
            <w:sz w:val="20"/>
            <w:color w:val="0000ff"/>
          </w:rPr>
          <w:t xml:space="preserve">пункте 1.14</w:t>
        </w:r>
      </w:hyperlink>
      <w:r>
        <w:rPr>
          <w:sz w:val="20"/>
        </w:rPr>
        <w:t xml:space="preserve"> ФГОС СПО (имеющих стаж работы в данной профессиональной области не менее трех лет);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указанной в </w:t>
      </w:r>
      <w:hyperlink w:history="0" w:anchor="P80" w:tooltip="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33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очее) &lt;6&gt;.">
        <w:r>
          <w:rPr>
            <w:sz w:val="20"/>
            <w:color w:val="0000ff"/>
          </w:rPr>
          <w:t xml:space="preserve">пункте 1.14</w:t>
        </w:r>
      </w:hyperlink>
      <w:r>
        <w:rPr>
          <w:sz w:val="20"/>
        </w:rPr>
        <w:t xml:space="preserve">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указанной в </w:t>
      </w:r>
      <w:hyperlink w:history="0" w:anchor="P80" w:tooltip="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33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очее) &lt;6&gt;.">
        <w:r>
          <w:rPr>
            <w:sz w:val="20"/>
            <w:color w:val="0000ff"/>
          </w:rPr>
          <w:t xml:space="preserve">пункте 1.14</w:t>
        </w:r>
      </w:hyperlink>
      <w:r>
        <w:rPr>
          <w:sz w:val="20"/>
        </w:rP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4.6. Требование к финансовым условиям реализации образовательной программы: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&lt;9&gt; и Федеральным </w:t>
      </w:r>
      <w:hyperlink w:history="0" r:id="rId44" w:tooltip="Федеральный закон от 29.12.2012 N 273-ФЗ (ред. от 25.04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29 декабря 2012 г. N 273-ФЗ "Об образовании в Российской Федерации" &lt;10&gt;.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&lt;9&gt; Бюджетный </w:t>
      </w:r>
      <w:hyperlink w:history="0" r:id="rId45" w:tooltip="&quot;Бюджетный кодекс Российской Федерации&quot; от 31.07.1998 N 145-ФЗ (ред. от 28.12.2025, с изм. от 31.03.2026) {КонсультантПлюс}">
        <w:r>
          <w:rPr>
            <w:sz w:val="20"/>
            <w:color w:val="0000ff"/>
          </w:rPr>
          <w:t xml:space="preserve">кодекс</w:t>
        </w:r>
      </w:hyperlink>
      <w:r>
        <w:rPr>
          <w:sz w:val="20"/>
        </w:rPr>
        <w:t xml:space="preserve"> Российской Федерации (Собрание законодательства Российской Федерации, 1998, N 31, ст. 3823; 2022, N 29, ст. 5305).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&lt;10&gt; Собрание законодательства Российской Федерации, 2012, N 53, ст. 7598; 2022, N 29, ст. 5262.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4.7. Требования к применяемым механизмам оценки качества образовательной программы: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>
      <w:pPr>
        <w:pStyle w:val="0"/>
        <w:jc w:val="both"/>
      </w:pPr>
      <w:r>
        <w:rPr>
          <w:sz w:val="20"/>
        </w:rPr>
        <w:t xml:space="preserve">(пп. "в" в ред. </w:t>
      </w:r>
      <w:hyperlink w:history="0" r:id="rId46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12.12.2022 N 1100</w:t>
            <w:br/>
            <w:t>(ред. от 03.07.2024)</w:t>
            <w:br/>
            <w:t>"Об утверждении федерального государственного обр...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483090&amp;dst=113305" TargetMode = "External"/><Relationship Id="rId9" Type="http://schemas.openxmlformats.org/officeDocument/2006/relationships/hyperlink" Target="https://login.consultant.ru/link/?req=doc&amp;base=RZR&amp;n=532819&amp;dst=100051" TargetMode = "External"/><Relationship Id="rId10" Type="http://schemas.openxmlformats.org/officeDocument/2006/relationships/hyperlink" Target="https://login.consultant.ru/link/?req=doc&amp;base=RZR&amp;n=481262&amp;dst=100072" TargetMode = "External"/><Relationship Id="rId11" Type="http://schemas.openxmlformats.org/officeDocument/2006/relationships/hyperlink" Target="https://login.consultant.ru/link/?req=doc&amp;base=RZR&amp;n=398508&amp;dst=100012" TargetMode = "External"/><Relationship Id="rId12" Type="http://schemas.openxmlformats.org/officeDocument/2006/relationships/hyperlink" Target="https://login.consultant.ru/link/?req=doc&amp;base=RZR&amp;n=377712&amp;dst=101634" TargetMode = "External"/><Relationship Id="rId13" Type="http://schemas.openxmlformats.org/officeDocument/2006/relationships/hyperlink" Target="https://login.consultant.ru/link/?req=doc&amp;base=RZR&amp;n=375012&amp;dst=100010" TargetMode = "External"/><Relationship Id="rId14" Type="http://schemas.openxmlformats.org/officeDocument/2006/relationships/hyperlink" Target="https://login.consultant.ru/link/?req=doc&amp;base=RZR&amp;n=377712&amp;dst=175" TargetMode = "External"/><Relationship Id="rId15" Type="http://schemas.openxmlformats.org/officeDocument/2006/relationships/hyperlink" Target="https://login.consultant.ru/link/?req=doc&amp;base=RZR&amp;n=483090&amp;dst=113305" TargetMode = "External"/><Relationship Id="rId16" Type="http://schemas.openxmlformats.org/officeDocument/2006/relationships/hyperlink" Target="https://login.consultant.ru/link/?req=doc&amp;base=RZR&amp;n=530300&amp;dst=101190" TargetMode = "External"/><Relationship Id="rId17" Type="http://schemas.openxmlformats.org/officeDocument/2006/relationships/hyperlink" Target="https://login.consultant.ru/link/?req=doc&amp;base=RZR&amp;n=530300&amp;dst=100022" TargetMode = "External"/><Relationship Id="rId18" Type="http://schemas.openxmlformats.org/officeDocument/2006/relationships/hyperlink" Target="https://login.consultant.ru/link/?req=doc&amp;base=RZR&amp;n=501142&amp;dst=4" TargetMode = "External"/><Relationship Id="rId19" Type="http://schemas.openxmlformats.org/officeDocument/2006/relationships/hyperlink" Target="https://login.consultant.ru/link/?req=doc&amp;base=RZR&amp;n=483090&amp;dst=113306" TargetMode = "External"/><Relationship Id="rId20" Type="http://schemas.openxmlformats.org/officeDocument/2006/relationships/hyperlink" Target="https://login.consultant.ru/link/?req=doc&amp;base=RZR&amp;n=501142&amp;dst=4" TargetMode = "External"/><Relationship Id="rId21" Type="http://schemas.openxmlformats.org/officeDocument/2006/relationships/hyperlink" Target="https://login.consultant.ru/link/?req=doc&amp;base=RZR&amp;n=483090&amp;dst=113307" TargetMode = "External"/><Relationship Id="rId22" Type="http://schemas.openxmlformats.org/officeDocument/2006/relationships/hyperlink" Target="https://login.consultant.ru/link/?req=doc&amp;base=RZR&amp;n=483090&amp;dst=113308" TargetMode = "External"/><Relationship Id="rId23" Type="http://schemas.openxmlformats.org/officeDocument/2006/relationships/hyperlink" Target="https://login.consultant.ru/link/?req=doc&amp;base=RZR&amp;n=532901&amp;dst=774" TargetMode = "External"/><Relationship Id="rId24" Type="http://schemas.openxmlformats.org/officeDocument/2006/relationships/hyperlink" Target="https://login.consultant.ru/link/?req=doc&amp;base=RZR&amp;n=532901&amp;dst=100249" TargetMode = "External"/><Relationship Id="rId25" Type="http://schemas.openxmlformats.org/officeDocument/2006/relationships/hyperlink" Target="https://login.consultant.ru/link/?req=doc&amp;base=RZR&amp;n=483090&amp;dst=113309" TargetMode = "External"/><Relationship Id="rId26" Type="http://schemas.openxmlformats.org/officeDocument/2006/relationships/hyperlink" Target="https://login.consultant.ru/link/?req=doc&amp;base=RZR&amp;n=411930&amp;dst=100030" TargetMode = "External"/><Relationship Id="rId27" Type="http://schemas.openxmlformats.org/officeDocument/2006/relationships/hyperlink" Target="https://login.consultant.ru/link/?req=doc&amp;base=RZR&amp;n=214720&amp;dst=100114" TargetMode = "External"/><Relationship Id="rId28" Type="http://schemas.openxmlformats.org/officeDocument/2006/relationships/hyperlink" Target="https://login.consultant.ru/link/?req=doc&amp;base=RZR&amp;n=214720&amp;dst=100047" TargetMode = "External"/><Relationship Id="rId29" Type="http://schemas.openxmlformats.org/officeDocument/2006/relationships/hyperlink" Target="https://login.consultant.ru/link/?req=doc&amp;base=RZR&amp;n=483090&amp;dst=113310" TargetMode = "External"/><Relationship Id="rId30" Type="http://schemas.openxmlformats.org/officeDocument/2006/relationships/hyperlink" Target="https://login.consultant.ru/link/?req=doc&amp;base=RZR&amp;n=483090&amp;dst=113312" TargetMode = "External"/><Relationship Id="rId31" Type="http://schemas.openxmlformats.org/officeDocument/2006/relationships/hyperlink" Target="https://login.consultant.ru/link/?req=doc&amp;base=RZR&amp;n=483090&amp;dst=113313" TargetMode = "External"/><Relationship Id="rId32" Type="http://schemas.openxmlformats.org/officeDocument/2006/relationships/hyperlink" Target="https://login.consultant.ru/link/?req=doc&amp;base=RZR&amp;n=483090&amp;dst=113315" TargetMode = "External"/><Relationship Id="rId33" Type="http://schemas.openxmlformats.org/officeDocument/2006/relationships/hyperlink" Target="https://login.consultant.ru/link/?req=doc&amp;base=RZR&amp;n=483090&amp;dst=113316" TargetMode = "External"/><Relationship Id="rId34" Type="http://schemas.openxmlformats.org/officeDocument/2006/relationships/hyperlink" Target="https://login.consultant.ru/link/?req=doc&amp;base=RZR&amp;n=483090&amp;dst=113317" TargetMode = "External"/><Relationship Id="rId35" Type="http://schemas.openxmlformats.org/officeDocument/2006/relationships/hyperlink" Target="https://login.consultant.ru/link/?req=doc&amp;base=RZR&amp;n=483090&amp;dst=113318" TargetMode = "External"/><Relationship Id="rId36" Type="http://schemas.openxmlformats.org/officeDocument/2006/relationships/hyperlink" Target="https://login.consultant.ru/link/?req=doc&amp;base=RZR&amp;n=532901&amp;dst=415" TargetMode = "External"/><Relationship Id="rId37" Type="http://schemas.openxmlformats.org/officeDocument/2006/relationships/hyperlink" Target="https://login.consultant.ru/link/?req=doc&amp;base=RZR&amp;n=511660" TargetMode = "External"/><Relationship Id="rId38" Type="http://schemas.openxmlformats.org/officeDocument/2006/relationships/hyperlink" Target="https://login.consultant.ru/link/?req=doc&amp;base=RZR&amp;n=522968&amp;dst=100047" TargetMode = "External"/><Relationship Id="rId39" Type="http://schemas.openxmlformats.org/officeDocument/2006/relationships/hyperlink" Target="https://login.consultant.ru/link/?req=doc&amp;base=RZR&amp;n=494597&amp;dst=100037" TargetMode = "External"/><Relationship Id="rId40" Type="http://schemas.openxmlformats.org/officeDocument/2006/relationships/hyperlink" Target="https://login.consultant.ru/link/?req=doc&amp;base=RZR&amp;n=517341&amp;dst=100137" TargetMode = "External"/><Relationship Id="rId41" Type="http://schemas.openxmlformats.org/officeDocument/2006/relationships/hyperlink" Target="https://login.consultant.ru/link/?req=doc&amp;base=RZR&amp;n=483090&amp;dst=113319" TargetMode = "External"/><Relationship Id="rId42" Type="http://schemas.openxmlformats.org/officeDocument/2006/relationships/hyperlink" Target="https://login.consultant.ru/link/?req=doc&amp;base=RZR&amp;n=483090&amp;dst=113321" TargetMode = "External"/><Relationship Id="rId43" Type="http://schemas.openxmlformats.org/officeDocument/2006/relationships/hyperlink" Target="https://login.consultant.ru/link/?req=doc&amp;base=RZR&amp;n=483090&amp;dst=113322" TargetMode = "External"/><Relationship Id="rId44" Type="http://schemas.openxmlformats.org/officeDocument/2006/relationships/hyperlink" Target="https://login.consultant.ru/link/?req=doc&amp;base=RZR&amp;n=532901" TargetMode = "External"/><Relationship Id="rId45" Type="http://schemas.openxmlformats.org/officeDocument/2006/relationships/hyperlink" Target="https://login.consultant.ru/link/?req=doc&amp;base=RZR&amp;n=495710" TargetMode = "External"/><Relationship Id="rId46" Type="http://schemas.openxmlformats.org/officeDocument/2006/relationships/hyperlink" Target="https://login.consultant.ru/link/?req=doc&amp;base=RZR&amp;n=483090&amp;dst=113323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12.12.2022 N 1100
(ред. от 03.07.2024)
"Об утверждении федерального государственного образовательного стандарта среднего профессионального образования по специальности 43.02.16 Туризм и гостеприимство"
(Зарегистрировано в Минюсте России 24.01.2023 N 72111)</dc:title>
  <dcterms:created xsi:type="dcterms:W3CDTF">2026-06-05T08:12:49Z</dcterms:created>
</cp:coreProperties>
</file>