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08.06.2017 N 516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43.03.02 Туризм"</w:t>
              <w:br/>
              <w:t xml:space="preserve">(Зарегистрировано в Минюсте России 29.06.2017 N 47223)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июня 2017 г. N 47223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июня 2017 г. N 516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43.03.02 ТУРИЗМ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43.03.02 Туризм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4.12.2015 N 1463 &quot;Об утверждении федерального государственного образовательного стандарта высшего образования по направлению подготовки 43.03.02 Туризм (уровень бакалавриата)&quot; (Зарегистрировано в Минюсте России 19.01.2016 N 4063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43.03.02 Туризм (уровень бакалавриата), утвержденным приказом Министерства образования и науки Российской Федерации от 14 декабря 2015 г. N 1463 (зарегистрирован Министерством юстиции Российской Федерации 19 января 2016 г., регистрационный N 40639), прекращается 31 декабря 2018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30 декабря 2017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июня 2017 г. N 516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43.03.02 ТУРИЗМ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43.03.02 Туризм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См.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статью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2670).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9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3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См.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04 Культура, искусство (в сфере экскурсионной деятельности);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(в сферах: оказание туристских, экскурсионных услуг населению и иных услуг необходимых для организации и реализации путешествий; формирование, продвижение и реализация туристского продукта; деятельность объектов туристской инфраструктуры и туристских сервисов; проектирование в туризме);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прикладных исследований.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сервисный;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исследовательский.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(или)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1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4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07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4422"/>
        <w:gridCol w:w="3458"/>
      </w:tblGrid>
      <w:tr>
        <w:tc>
          <w:tcPr>
            <w:gridSpan w:val="2"/>
            <w:tcW w:w="56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191" w:type="dxa"/>
            <w:vAlign w:val="center"/>
          </w:tcPr>
          <w:bookmarkStart w:id="101" w:name="P101"/>
          <w:bookmarkEnd w:id="10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180</w:t>
            </w:r>
          </w:p>
        </w:tc>
      </w:tr>
      <w:tr>
        <w:tc>
          <w:tcPr>
            <w:tcW w:w="1191" w:type="dxa"/>
            <w:vAlign w:val="center"/>
          </w:tcPr>
          <w:bookmarkStart w:id="104" w:name="P104"/>
          <w:bookmarkEnd w:id="104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30</w:t>
            </w:r>
          </w:p>
        </w:tc>
      </w:tr>
      <w:tr>
        <w:tc>
          <w:tcPr>
            <w:tcW w:w="1191" w:type="dxa"/>
          </w:tcPr>
          <w:bookmarkStart w:id="107" w:name="P107"/>
          <w:bookmarkEnd w:id="107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</w:t>
            </w:r>
          </w:p>
        </w:tc>
      </w:tr>
      <w:tr>
        <w:tc>
          <w:tcPr>
            <w:gridSpan w:val="2"/>
            <w:tcW w:w="5613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3" w:name="P113"/>
    <w:bookmarkEnd w:id="113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1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1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4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исследовательская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проектно-технологическая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сервисная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исследовательская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1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1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07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3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1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45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7"/>
        <w:gridCol w:w="6236"/>
      </w:tblGrid>
      <w:tr>
        <w:tc>
          <w:tcPr>
            <w:tcW w:w="2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827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3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82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27"/>
        <w:gridCol w:w="6236"/>
      </w:tblGrid>
      <w:tr>
        <w:tc>
          <w:tcPr>
            <w:tcW w:w="28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Технологии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применять технологические новации и современное программное обеспечение в туристской сфере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осуществлять основные функции управления туристской деятельностью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Качество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осуществлять исследование туристского рынка, организовывать продажи и продвижение туристского продукта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ОПК-6. 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</w:tr>
      <w:tr>
        <w:tc>
          <w:tcPr>
            <w:tcW w:w="28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обслуживания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ОПК-7. 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82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Информационно-коммуникационные технологии для профессиональной деятельности</w:t>
            </w:r>
          </w:p>
        </w:tc>
        <w:tc>
          <w:tcPr>
            <w:tcW w:w="623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ОПК-8.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87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7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См. </w:t>
      </w:r>
      <w:hyperlink w:history="0" r:id="rId2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ред. </w:t>
      </w:r>
      <w:hyperlink w:history="0" r:id="rId2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0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history="0" w:anchor="P68" w:tooltip="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history="0" w:anchor="P76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1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7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7491), Федеральный </w:t>
      </w:r>
      <w:hyperlink w:history="0" r:id="rId3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10 процентов численности педагогических работников Организации,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См. </w:t>
      </w:r>
      <w:hyperlink w:history="0" r:id="rId35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42; ст. 5926; N 46, ст. 6468).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</w:t>
      </w:r>
    </w:p>
    <w:p>
      <w:pPr>
        <w:pStyle w:val="0"/>
        <w:jc w:val="right"/>
      </w:pPr>
      <w:r>
        <w:rPr>
          <w:sz w:val="20"/>
        </w:rPr>
        <w:t xml:space="preserve">высшего образования - бакалавриат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</w:t>
      </w:r>
    </w:p>
    <w:p>
      <w:pPr>
        <w:pStyle w:val="0"/>
        <w:jc w:val="right"/>
      </w:pPr>
      <w:r>
        <w:rPr>
          <w:sz w:val="20"/>
        </w:rPr>
        <w:t xml:space="preserve">43.03.02 Туризм,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июня 2017 г. N 516</w:t>
      </w:r>
    </w:p>
    <w:p>
      <w:pPr>
        <w:pStyle w:val="0"/>
        <w:jc w:val="both"/>
      </w:pPr>
      <w:r>
        <w:rPr>
          <w:sz w:val="20"/>
        </w:rPr>
      </w:r>
    </w:p>
    <w:bookmarkStart w:id="287" w:name="P287"/>
    <w:bookmarkEnd w:id="28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43.03.02 ТУРИЗМ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757"/>
        <w:gridCol w:w="6576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04 Культура, искусство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04.005</w:t>
            </w:r>
          </w:p>
        </w:tc>
        <w:tc>
          <w:tcPr>
            <w:tcW w:w="6576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04.08.2014 N 539н (ред. от 12.12.2016) &quot;Об утверждении профессионального стандарта &quot;Экскурсовод (гид)&quot; (Зарегистрировано в Минюсте России 01.09.2014 N 3392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"Экскурсовод (гид)", утвержденный приказом Министерства труда и социальной защиты Российской Федерации от 4 августа 2014 г. N 539н (зарегистрирован Министерством юстиции Российской Федерации 1 сентября 2014 г., регистрационный N 33924), с изменениями, внесенными приказами Министерства труда и социальной защиты Российской Федерации от 18 марта 2016 г. N 117н (зарегистрирован Министерством юстиции Российской Федерации 13 апреля 2016 г., регистрационный N 41775) 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08.06.2017 N 516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0202" TargetMode = "External"/><Relationship Id="rId9" Type="http://schemas.openxmlformats.org/officeDocument/2006/relationships/hyperlink" Target="https://login.consultant.ru/link/?req=doc&amp;base=RZR&amp;n=379282&amp;dst=100110" TargetMode = "External"/><Relationship Id="rId10" Type="http://schemas.openxmlformats.org/officeDocument/2006/relationships/hyperlink" Target="https://login.consultant.ru/link/?req=doc&amp;base=RZR&amp;n=428382&amp;dst=100043" TargetMode = "External"/><Relationship Id="rId11" Type="http://schemas.openxmlformats.org/officeDocument/2006/relationships/hyperlink" Target="https://login.consultant.ru/link/?req=doc&amp;base=RZR&amp;n=443783&amp;dst=100084" TargetMode = "External"/><Relationship Id="rId12" Type="http://schemas.openxmlformats.org/officeDocument/2006/relationships/hyperlink" Target="https://login.consultant.ru/link/?req=doc&amp;base=RZR&amp;n=287618&amp;dst=100042" TargetMode = "External"/><Relationship Id="rId13" Type="http://schemas.openxmlformats.org/officeDocument/2006/relationships/hyperlink" Target="https://login.consultant.ru/link/?req=doc&amp;base=RZR&amp;n=192840&amp;dst=100013" TargetMode = "External"/><Relationship Id="rId14" Type="http://schemas.openxmlformats.org/officeDocument/2006/relationships/hyperlink" Target="https://login.consultant.ru/link/?req=doc&amp;base=RZR&amp;n=385079&amp;dst=100202" TargetMode = "External"/><Relationship Id="rId15" Type="http://schemas.openxmlformats.org/officeDocument/2006/relationships/hyperlink" Target="https://login.consultant.ru/link/?req=doc&amp;base=RZR&amp;n=379282&amp;dst=100110" TargetMode = "External"/><Relationship Id="rId16" Type="http://schemas.openxmlformats.org/officeDocument/2006/relationships/hyperlink" Target="https://login.consultant.ru/link/?req=doc&amp;base=RZR&amp;n=428382&amp;dst=100043" TargetMode = "External"/><Relationship Id="rId17" Type="http://schemas.openxmlformats.org/officeDocument/2006/relationships/hyperlink" Target="https://login.consultant.ru/link/?req=doc&amp;base=RZR&amp;n=443783&amp;dst=100084" TargetMode = "External"/><Relationship Id="rId18" Type="http://schemas.openxmlformats.org/officeDocument/2006/relationships/hyperlink" Target="https://login.consultant.ru/link/?req=doc&amp;base=RZR&amp;n=532901&amp;dst=100249" TargetMode = "External"/><Relationship Id="rId19" Type="http://schemas.openxmlformats.org/officeDocument/2006/relationships/hyperlink" Target="https://login.consultant.ru/link/?req=doc&amp;base=RZR&amp;n=214720&amp;dst=100047" TargetMode = "External"/><Relationship Id="rId20" Type="http://schemas.openxmlformats.org/officeDocument/2006/relationships/hyperlink" Target="https://login.consultant.ru/link/?req=doc&amp;base=RZR&amp;n=428382&amp;dst=100043" TargetMode = "External"/><Relationship Id="rId21" Type="http://schemas.openxmlformats.org/officeDocument/2006/relationships/hyperlink" Target="https://login.consultant.ru/link/?req=doc&amp;base=RZR&amp;n=379282&amp;dst=100112" TargetMode = "External"/><Relationship Id="rId22" Type="http://schemas.openxmlformats.org/officeDocument/2006/relationships/hyperlink" Target="https://login.consultant.ru/link/?req=doc&amp;base=RZR&amp;n=379282&amp;dst=100114" TargetMode = "External"/><Relationship Id="rId23" Type="http://schemas.openxmlformats.org/officeDocument/2006/relationships/hyperlink" Target="https://login.consultant.ru/link/?req=doc&amp;base=RZR&amp;n=385079&amp;dst=100204" TargetMode = "External"/><Relationship Id="rId24" Type="http://schemas.openxmlformats.org/officeDocument/2006/relationships/hyperlink" Target="https://login.consultant.ru/link/?req=doc&amp;base=RZR&amp;n=385079&amp;dst=100214" TargetMode = "External"/><Relationship Id="rId25" Type="http://schemas.openxmlformats.org/officeDocument/2006/relationships/hyperlink" Target="https://login.consultant.ru/link/?req=doc&amp;base=RZR&amp;n=443783&amp;dst=100084" TargetMode = "External"/><Relationship Id="rId26" Type="http://schemas.openxmlformats.org/officeDocument/2006/relationships/hyperlink" Target="https://login.consultant.ru/link/?req=doc&amp;base=RZR&amp;n=385079&amp;dst=100221" TargetMode = "External"/><Relationship Id="rId27" Type="http://schemas.openxmlformats.org/officeDocument/2006/relationships/hyperlink" Target="http://profstandart.rosmintrud.ru" TargetMode = "External"/><Relationship Id="rId28" Type="http://schemas.openxmlformats.org/officeDocument/2006/relationships/hyperlink" Target="https://login.consultant.ru/link/?req=doc&amp;base=RZR&amp;n=214720&amp;dst=100006" TargetMode = "External"/><Relationship Id="rId29" Type="http://schemas.openxmlformats.org/officeDocument/2006/relationships/hyperlink" Target="https://login.consultant.ru/link/?req=doc&amp;base=RZR&amp;n=379282&amp;dst=100116" TargetMode = "External"/><Relationship Id="rId30" Type="http://schemas.openxmlformats.org/officeDocument/2006/relationships/hyperlink" Target="https://login.consultant.ru/link/?req=doc&amp;base=RZR&amp;n=146970" TargetMode = "External"/><Relationship Id="rId31" Type="http://schemas.openxmlformats.org/officeDocument/2006/relationships/hyperlink" Target="https://login.consultant.ru/link/?req=doc&amp;base=RZR&amp;n=379282&amp;dst=100120" TargetMode = "External"/><Relationship Id="rId32" Type="http://schemas.openxmlformats.org/officeDocument/2006/relationships/hyperlink" Target="https://login.consultant.ru/link/?req=doc&amp;base=RZR&amp;n=379282&amp;dst=100121" TargetMode = "External"/><Relationship Id="rId33" Type="http://schemas.openxmlformats.org/officeDocument/2006/relationships/hyperlink" Target="https://login.consultant.ru/link/?req=doc&amp;base=RZR&amp;n=511583" TargetMode = "External"/><Relationship Id="rId34" Type="http://schemas.openxmlformats.org/officeDocument/2006/relationships/hyperlink" Target="https://login.consultant.ru/link/?req=doc&amp;base=RZR&amp;n=499769" TargetMode = "External"/><Relationship Id="rId35" Type="http://schemas.openxmlformats.org/officeDocument/2006/relationships/hyperlink" Target="https://login.consultant.ru/link/?req=doc&amp;base=RZR&amp;n=521255&amp;dst=100504" TargetMode = "External"/><Relationship Id="rId36" Type="http://schemas.openxmlformats.org/officeDocument/2006/relationships/hyperlink" Target="https://login.consultant.ru/link/?req=doc&amp;base=RZR&amp;n=379282&amp;dst=100123" TargetMode = "External"/><Relationship Id="rId37" Type="http://schemas.openxmlformats.org/officeDocument/2006/relationships/hyperlink" Target="https://login.consultant.ru/link/?req=doc&amp;base=RZR&amp;n=211461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08.06.2017 N 516
(ред. от 27.02.2023)
"Об утверждении федерального государственного образовательного стандарта высшего образования - бакалавриат по направлению подготовки 43.03.02 Туризм"
(Зарегистрировано в Минюсте России 29.06.2017 N 47223)</dc:title>
  <dcterms:created xsi:type="dcterms:W3CDTF">2026-06-05T08:23:44Z</dcterms:created>
</cp:coreProperties>
</file>