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22.02.2018 N 122</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w:t>
              <w:br/>
              <w:t xml:space="preserve">(Зарегистрировано в Минюсте России 15.03.2018 N 50364)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марта 2018 г. N 50364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22 февраля 2018 г. N 122</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44.03.02 ПСИХОЛОГО-ПЕДАГОГИЧЕСКОЕ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44.03.02 Психолого-педагогическое образование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7"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14.12.2015 N 1457 (ред. от 20.04.2016) &quot;Об утверждении федерального государственного образовательного стандарта высшего образования по направлению подготовки 44.03.02 Психолого-педагогическое образование (уровень бакалавриата)&quot; (Зарегистрировано в Минюсте России 18.01.2016 N 40623) {КонсультантПлюс}">
        <w:r>
          <w:rPr>
            <w:sz w:val="20"/>
            <w:color w:val="0000ff"/>
          </w:rPr>
          <w:t xml:space="preserve">стандартом</w:t>
        </w:r>
      </w:hyperlink>
      <w:r>
        <w:rPr>
          <w:sz w:val="20"/>
        </w:rPr>
        <w:t xml:space="preserve"> высшего образования по направлению подготовки 44.03.02 Психолого-педагогическое образование (уровень бакалавриата), утвержденным приказом Министерства образования и науки Российской Федерации от 14 декабря 2015 г. N 1457 (зарегистрирован Министерством юстиции Российской Федерации 18 января 2016 г., регистрационный N 40623), с изменениями, внесенными приказом Министерства образования и науки Российской Федерации от 20 апреля 2016 г. N 444 (зарегистрирован Министерством юстиции Российской Федерации 23 мая 2016 г., регистрационный N 42205), прекращается 31 декабря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февраля 2018 г. N 122</w:t>
      </w:r>
    </w:p>
    <w:p>
      <w:pPr>
        <w:pStyle w:val="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44.03.02 ПСИХОЛОГО-ПЕДАГОГИЧЕСКОЕ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44.03.02 Психолого-педагогическое образование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jc w:val="both"/>
      </w:pPr>
      <w:r>
        <w:rPr>
          <w:sz w:val="20"/>
        </w:rPr>
      </w:r>
    </w:p>
    <w:bookmarkStart w:id="58" w:name="P58"/>
    <w:bookmarkEnd w:id="58"/>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4 года;</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2" w:name="P62"/>
    <w:bookmarkEnd w:id="62"/>
    <w:p>
      <w:pPr>
        <w:pStyle w:val="0"/>
        <w:spacing w:before="200" w:lineRule="auto"/>
        <w:ind w:firstLine="540"/>
        <w:jc w:val="both"/>
      </w:pPr>
      <w:r>
        <w:rPr>
          <w:sz w:val="20"/>
        </w:rPr>
        <w:t xml:space="preserve">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8"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2" w:tooltip="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7" w:name="P67"/>
    <w:bookmarkEnd w:id="67"/>
    <w:p>
      <w:pPr>
        <w:pStyle w:val="0"/>
        <w:spacing w:before="200" w:lineRule="auto"/>
        <w:ind w:firstLine="540"/>
        <w:jc w:val="both"/>
      </w:pPr>
      <w:r>
        <w:rPr>
          <w:sz w:val="20"/>
        </w:rPr>
        <w:t xml:space="preserve">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pPr>
        <w:pStyle w:val="0"/>
        <w:spacing w:before="200" w:lineRule="auto"/>
        <w:ind w:firstLine="540"/>
        <w:jc w:val="both"/>
      </w:pPr>
      <w:hyperlink w:history="0" r:id="rId2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03</w:t>
        </w:r>
      </w:hyperlink>
      <w:r>
        <w:rPr>
          <w:sz w:val="20"/>
        </w:rPr>
        <w:t xml:space="preserve"> Социальное обслуживание (в сфере социального обслуживания и социального обеспечения).</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4" w:name="P74"/>
    <w:bookmarkEnd w:id="74"/>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педагогический;</w:t>
      </w:r>
    </w:p>
    <w:p>
      <w:pPr>
        <w:pStyle w:val="0"/>
        <w:spacing w:before="200" w:lineRule="auto"/>
        <w:ind w:firstLine="540"/>
        <w:jc w:val="both"/>
      </w:pPr>
      <w:r>
        <w:rPr>
          <w:sz w:val="20"/>
        </w:rPr>
        <w:t xml:space="preserve">проектный;</w:t>
      </w:r>
    </w:p>
    <w:p>
      <w:pPr>
        <w:pStyle w:val="0"/>
        <w:spacing w:before="200" w:lineRule="auto"/>
        <w:ind w:firstLine="540"/>
        <w:jc w:val="both"/>
      </w:pPr>
      <w:r>
        <w:rPr>
          <w:sz w:val="20"/>
        </w:rPr>
        <w:t xml:space="preserve">методический;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культурно-просветительский;</w:t>
      </w:r>
    </w:p>
    <w:p>
      <w:pPr>
        <w:pStyle w:val="0"/>
        <w:spacing w:before="200" w:lineRule="auto"/>
        <w:ind w:firstLine="540"/>
        <w:jc w:val="both"/>
      </w:pPr>
      <w:r>
        <w:rPr>
          <w:sz w:val="20"/>
        </w:rPr>
        <w:t xml:space="preserve">сопровождения.</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(или)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бакалавриата</w:t>
      </w:r>
    </w:p>
    <w:p>
      <w:pPr>
        <w:pStyle w:val="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100"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3"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6"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бакалавриата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4329"/>
        <w:gridCol w:w="3607"/>
      </w:tblGrid>
      <w:tr>
        <w:tc>
          <w:tcPr>
            <w:gridSpan w:val="2"/>
            <w:tcW w:w="5462" w:type="dxa"/>
          </w:tcPr>
          <w:p>
            <w:pPr>
              <w:pStyle w:val="0"/>
              <w:jc w:val="center"/>
            </w:pPr>
            <w:r>
              <w:rPr>
                <w:sz w:val="20"/>
              </w:rPr>
              <w:t xml:space="preserve">Структура программы бакалавриата</w:t>
            </w:r>
          </w:p>
        </w:tc>
        <w:tc>
          <w:tcPr>
            <w:tcW w:w="3607" w:type="dxa"/>
          </w:tcPr>
          <w:p>
            <w:pPr>
              <w:pStyle w:val="0"/>
              <w:jc w:val="center"/>
            </w:pPr>
            <w:r>
              <w:rPr>
                <w:sz w:val="20"/>
              </w:rPr>
              <w:t xml:space="preserve">Объем программы бакалавриата и ее блоков в з.е.</w:t>
            </w:r>
          </w:p>
        </w:tc>
      </w:tr>
      <w:tr>
        <w:tc>
          <w:tcPr>
            <w:tcW w:w="1133" w:type="dxa"/>
          </w:tcPr>
          <w:bookmarkStart w:id="100" w:name="P100"/>
          <w:bookmarkEnd w:id="100"/>
          <w:p>
            <w:pPr>
              <w:pStyle w:val="0"/>
              <w:jc w:val="center"/>
            </w:pPr>
            <w:r>
              <w:rPr>
                <w:sz w:val="20"/>
              </w:rPr>
              <w:t xml:space="preserve">Блок 1</w:t>
            </w:r>
          </w:p>
        </w:tc>
        <w:tc>
          <w:tcPr>
            <w:tcW w:w="4329" w:type="dxa"/>
          </w:tcPr>
          <w:p>
            <w:pPr>
              <w:pStyle w:val="0"/>
            </w:pPr>
            <w:r>
              <w:rPr>
                <w:sz w:val="20"/>
              </w:rPr>
              <w:t xml:space="preserve">Дисциплины (модули)</w:t>
            </w:r>
          </w:p>
        </w:tc>
        <w:tc>
          <w:tcPr>
            <w:tcW w:w="3607" w:type="dxa"/>
          </w:tcPr>
          <w:p>
            <w:pPr>
              <w:pStyle w:val="0"/>
              <w:jc w:val="center"/>
            </w:pPr>
            <w:r>
              <w:rPr>
                <w:sz w:val="20"/>
              </w:rPr>
              <w:t xml:space="preserve">не менее 120</w:t>
            </w:r>
          </w:p>
        </w:tc>
      </w:tr>
      <w:tr>
        <w:tc>
          <w:tcPr>
            <w:tcW w:w="1133" w:type="dxa"/>
          </w:tcPr>
          <w:bookmarkStart w:id="103" w:name="P103"/>
          <w:bookmarkEnd w:id="103"/>
          <w:p>
            <w:pPr>
              <w:pStyle w:val="0"/>
              <w:jc w:val="center"/>
            </w:pPr>
            <w:r>
              <w:rPr>
                <w:sz w:val="20"/>
              </w:rPr>
              <w:t xml:space="preserve">Блок 2</w:t>
            </w:r>
          </w:p>
        </w:tc>
        <w:tc>
          <w:tcPr>
            <w:tcW w:w="4329" w:type="dxa"/>
          </w:tcPr>
          <w:p>
            <w:pPr>
              <w:pStyle w:val="0"/>
            </w:pPr>
            <w:r>
              <w:rPr>
                <w:sz w:val="20"/>
              </w:rPr>
              <w:t xml:space="preserve">Практика</w:t>
            </w:r>
          </w:p>
        </w:tc>
        <w:tc>
          <w:tcPr>
            <w:tcW w:w="3607" w:type="dxa"/>
          </w:tcPr>
          <w:p>
            <w:pPr>
              <w:pStyle w:val="0"/>
              <w:jc w:val="center"/>
            </w:pPr>
            <w:r>
              <w:rPr>
                <w:sz w:val="20"/>
              </w:rPr>
              <w:t xml:space="preserve">не менее 60</w:t>
            </w:r>
          </w:p>
        </w:tc>
      </w:tr>
      <w:tr>
        <w:tc>
          <w:tcPr>
            <w:tcW w:w="1133" w:type="dxa"/>
          </w:tcPr>
          <w:bookmarkStart w:id="106" w:name="P106"/>
          <w:bookmarkEnd w:id="106"/>
          <w:p>
            <w:pPr>
              <w:pStyle w:val="0"/>
              <w:jc w:val="center"/>
            </w:pPr>
            <w:r>
              <w:rPr>
                <w:sz w:val="20"/>
              </w:rPr>
              <w:t xml:space="preserve">Блок 3</w:t>
            </w:r>
          </w:p>
        </w:tc>
        <w:tc>
          <w:tcPr>
            <w:tcW w:w="4329" w:type="dxa"/>
          </w:tcPr>
          <w:p>
            <w:pPr>
              <w:pStyle w:val="0"/>
            </w:pPr>
            <w:r>
              <w:rPr>
                <w:sz w:val="20"/>
              </w:rPr>
              <w:t xml:space="preserve">Государственная итоговая аттестация</w:t>
            </w:r>
          </w:p>
        </w:tc>
        <w:tc>
          <w:tcPr>
            <w:tcW w:w="3607" w:type="dxa"/>
          </w:tcPr>
          <w:p>
            <w:pPr>
              <w:pStyle w:val="0"/>
              <w:jc w:val="center"/>
            </w:pPr>
            <w:r>
              <w:rPr>
                <w:sz w:val="20"/>
              </w:rPr>
              <w:t xml:space="preserve">не менее 9</w:t>
            </w:r>
          </w:p>
        </w:tc>
      </w:tr>
      <w:tr>
        <w:tc>
          <w:tcPr>
            <w:gridSpan w:val="2"/>
            <w:tcW w:w="5462" w:type="dxa"/>
          </w:tcPr>
          <w:p>
            <w:pPr>
              <w:pStyle w:val="0"/>
              <w:ind w:firstLine="283"/>
              <w:jc w:val="both"/>
            </w:pPr>
            <w:r>
              <w:rPr>
                <w:sz w:val="20"/>
              </w:rPr>
              <w:t xml:space="preserve">Объем программы бакалавриата</w:t>
            </w:r>
          </w:p>
        </w:tc>
        <w:tc>
          <w:tcPr>
            <w:tcW w:w="3607" w:type="dxa"/>
          </w:tcPr>
          <w:p>
            <w:pPr>
              <w:pStyle w:val="0"/>
              <w:jc w:val="center"/>
            </w:pPr>
            <w:r>
              <w:rPr>
                <w:sz w:val="20"/>
              </w:rPr>
              <w:t xml:space="preserve">240</w:t>
            </w:r>
          </w:p>
        </w:tc>
      </w:tr>
    </w:tbl>
    <w:p>
      <w:pPr>
        <w:pStyle w:val="0"/>
        <w:jc w:val="both"/>
      </w:pPr>
      <w:r>
        <w:rPr>
          <w:sz w:val="20"/>
        </w:rPr>
      </w:r>
    </w:p>
    <w:bookmarkStart w:id="112" w:name="P112"/>
    <w:bookmarkEnd w:id="112"/>
    <w:p>
      <w:pPr>
        <w:pStyle w:val="0"/>
        <w:ind w:firstLine="540"/>
        <w:jc w:val="both"/>
      </w:pPr>
      <w:r>
        <w:rPr>
          <w:sz w:val="20"/>
        </w:rPr>
        <w:t xml:space="preserve">2.2. Программа бакалавриата в рамках </w:t>
      </w:r>
      <w:hyperlink w:history="0" w:anchor="P100"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2"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20" w:name="P120"/>
    <w:bookmarkEnd w:id="120"/>
    <w:p>
      <w:pPr>
        <w:pStyle w:val="0"/>
        <w:spacing w:before="200" w:lineRule="auto"/>
        <w:ind w:firstLine="540"/>
        <w:jc w:val="both"/>
      </w:pPr>
      <w:r>
        <w:rPr>
          <w:sz w:val="20"/>
        </w:rPr>
        <w:t xml:space="preserve">2.4. В </w:t>
      </w:r>
      <w:hyperlink w:history="0" w:anchor="P103"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 (получение первичных навыков научно-исследовательской работы).</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педагогическая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2.5. В дополнение к типам практик, указанным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и один или несколько типов производственной практик из перечня, указанного в </w:t>
      </w:r>
      <w:hyperlink w:history="0" w:anchor="P120"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6"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выполнение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12"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100"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содержание которых соотносится с обязательной частью ПООП.</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tcW w:w="2494" w:type="dxa"/>
          </w:tcPr>
          <w:p>
            <w:pPr>
              <w:pStyle w:val="0"/>
              <w:jc w:val="center"/>
            </w:pPr>
            <w:r>
              <w:rPr>
                <w:sz w:val="20"/>
              </w:rPr>
              <w:t xml:space="preserve">Наименование категории (группы) универсальных компетенций</w:t>
            </w:r>
          </w:p>
        </w:tc>
        <w:tc>
          <w:tcPr>
            <w:tcW w:w="6576" w:type="dxa"/>
          </w:tcPr>
          <w:p>
            <w:pPr>
              <w:pStyle w:val="0"/>
              <w:jc w:val="center"/>
            </w:pPr>
            <w:r>
              <w:rPr>
                <w:sz w:val="20"/>
              </w:rPr>
              <w:t xml:space="preserve">Код и наименование универсальной компетенции выпускника</w:t>
            </w:r>
          </w:p>
        </w:tc>
      </w:tr>
      <w:tr>
        <w:tc>
          <w:tcPr>
            <w:tcW w:w="2494" w:type="dxa"/>
            <w:vAlign w:val="center"/>
          </w:tcPr>
          <w:p>
            <w:pPr>
              <w:pStyle w:val="0"/>
            </w:pPr>
            <w:r>
              <w:rPr>
                <w:sz w:val="20"/>
              </w:rPr>
              <w:t xml:space="preserve">Системное и критическое мышление</w:t>
            </w:r>
          </w:p>
        </w:tc>
        <w:tc>
          <w:tcPr>
            <w:tcW w:w="6576" w:type="dxa"/>
            <w:vAlign w:val="center"/>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494" w:type="dxa"/>
            <w:vAlign w:val="center"/>
          </w:tcPr>
          <w:p>
            <w:pPr>
              <w:pStyle w:val="0"/>
            </w:pPr>
            <w:r>
              <w:rPr>
                <w:sz w:val="20"/>
              </w:rPr>
              <w:t xml:space="preserve">Разработка и реализация проектов</w:t>
            </w:r>
          </w:p>
        </w:tc>
        <w:tc>
          <w:tcPr>
            <w:tcW w:w="6576" w:type="dxa"/>
            <w:vAlign w:val="center"/>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494" w:type="dxa"/>
            <w:vAlign w:val="center"/>
          </w:tcPr>
          <w:p>
            <w:pPr>
              <w:pStyle w:val="0"/>
            </w:pPr>
            <w:r>
              <w:rPr>
                <w:sz w:val="20"/>
              </w:rPr>
              <w:t xml:space="preserve">Командная работа и лидерство</w:t>
            </w:r>
          </w:p>
        </w:tc>
        <w:tc>
          <w:tcPr>
            <w:tcW w:w="6576" w:type="dxa"/>
            <w:vAlign w:val="center"/>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494" w:type="dxa"/>
            <w:vAlign w:val="center"/>
          </w:tcPr>
          <w:p>
            <w:pPr>
              <w:pStyle w:val="0"/>
            </w:pPr>
            <w:r>
              <w:rPr>
                <w:sz w:val="20"/>
              </w:rPr>
              <w:t xml:space="preserve">Коммуникация</w:t>
            </w:r>
          </w:p>
        </w:tc>
        <w:tc>
          <w:tcPr>
            <w:tcW w:w="6576" w:type="dxa"/>
            <w:vAlign w:val="center"/>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494" w:type="dxa"/>
            <w:vAlign w:val="center"/>
          </w:tcPr>
          <w:p>
            <w:pPr>
              <w:pStyle w:val="0"/>
            </w:pPr>
            <w:r>
              <w:rPr>
                <w:sz w:val="20"/>
              </w:rPr>
              <w:t xml:space="preserve">Межкультурное взаимодействие</w:t>
            </w:r>
          </w:p>
        </w:tc>
        <w:tc>
          <w:tcPr>
            <w:tcW w:w="6576" w:type="dxa"/>
            <w:vAlign w:val="center"/>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494" w:type="dxa"/>
            <w:vAlign w:val="center"/>
            <w:vMerge w:val="restart"/>
          </w:tcPr>
          <w:p>
            <w:pPr>
              <w:pStyle w:val="0"/>
            </w:pPr>
            <w:r>
              <w:rPr>
                <w:sz w:val="20"/>
              </w:rPr>
              <w:t xml:space="preserve">Самоорганизация и саморазвитие (в том числе здоровьесбережение)</w:t>
            </w:r>
          </w:p>
        </w:tc>
        <w:tc>
          <w:tcPr>
            <w:tcW w:w="6576" w:type="dxa"/>
            <w:vAlign w:val="center"/>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576" w:type="dxa"/>
            <w:vAlign w:val="center"/>
          </w:tcPr>
          <w:p>
            <w:pPr>
              <w:pStyle w:val="0"/>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494" w:type="dxa"/>
            <w:vAlign w:val="center"/>
            <w:tcBorders>
              <w:bottom w:val="nil"/>
            </w:tcBorders>
          </w:tcPr>
          <w:p>
            <w:pPr>
              <w:pStyle w:val="0"/>
            </w:pPr>
            <w:r>
              <w:rPr>
                <w:sz w:val="20"/>
              </w:rPr>
              <w:t xml:space="preserve">Безопасность жизнедеятельности</w:t>
            </w:r>
          </w:p>
        </w:tc>
        <w:tc>
          <w:tcPr>
            <w:tcW w:w="6576"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25"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494"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576"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70" w:type="dxa"/>
            <w:tcBorders>
              <w:top w:val="nil"/>
            </w:tcBorders>
          </w:tcPr>
          <w:p>
            <w:pPr>
              <w:pStyle w:val="0"/>
              <w:jc w:val="both"/>
            </w:pPr>
            <w:r>
              <w:rPr>
                <w:sz w:val="20"/>
              </w:rPr>
              <w:t xml:space="preserve">(введено </w:t>
            </w:r>
            <w:hyperlink w:history="0" r:id="rId26"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494" w:type="dxa"/>
            <w:tcBorders>
              <w:bottom w:val="nil"/>
            </w:tcBorders>
          </w:tcPr>
          <w:p>
            <w:pPr>
              <w:pStyle w:val="0"/>
              <w:jc w:val="both"/>
            </w:pPr>
            <w:r>
              <w:rPr>
                <w:sz w:val="20"/>
              </w:rPr>
              <w:t xml:space="preserve">Гражданская позиция</w:t>
            </w:r>
          </w:p>
        </w:tc>
        <w:tc>
          <w:tcPr>
            <w:tcW w:w="6576"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2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tcW w:w="2494" w:type="dxa"/>
          </w:tcPr>
          <w:p>
            <w:pPr>
              <w:pStyle w:val="0"/>
              <w:jc w:val="center"/>
            </w:pPr>
            <w:r>
              <w:rPr>
                <w:sz w:val="20"/>
              </w:rPr>
              <w:t xml:space="preserve">Наименование категории (группы) общепрофессиональных компетенций</w:t>
            </w:r>
          </w:p>
        </w:tc>
        <w:tc>
          <w:tcPr>
            <w:tcW w:w="6576" w:type="dxa"/>
          </w:tcPr>
          <w:p>
            <w:pPr>
              <w:pStyle w:val="0"/>
              <w:jc w:val="center"/>
            </w:pPr>
            <w:r>
              <w:rPr>
                <w:sz w:val="20"/>
              </w:rPr>
              <w:t xml:space="preserve">Код и наименование общепрофессиональной компетенции выпускника</w:t>
            </w:r>
          </w:p>
        </w:tc>
      </w:tr>
      <w:tr>
        <w:tc>
          <w:tcPr>
            <w:tcW w:w="2494" w:type="dxa"/>
            <w:vAlign w:val="center"/>
          </w:tcPr>
          <w:p>
            <w:pPr>
              <w:pStyle w:val="0"/>
            </w:pPr>
            <w:r>
              <w:rPr>
                <w:sz w:val="20"/>
              </w:rPr>
              <w:t xml:space="preserve">Правовые и этические основы профессиональной деятельности</w:t>
            </w:r>
          </w:p>
        </w:tc>
        <w:tc>
          <w:tcPr>
            <w:tcW w:w="6576" w:type="dxa"/>
          </w:tcPr>
          <w:p>
            <w:pPr>
              <w:pStyle w:val="0"/>
              <w:jc w:val="both"/>
            </w:pPr>
            <w:r>
              <w:rPr>
                <w:sz w:val="20"/>
              </w:rPr>
              <w:t xml:space="preserve">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tc>
          <w:tcPr>
            <w:tcW w:w="2494" w:type="dxa"/>
            <w:vAlign w:val="center"/>
          </w:tcPr>
          <w:p>
            <w:pPr>
              <w:pStyle w:val="0"/>
            </w:pPr>
            <w:r>
              <w:rPr>
                <w:sz w:val="20"/>
              </w:rPr>
              <w:t xml:space="preserve">Разработка основных и дополнительных образовательных программ</w:t>
            </w:r>
          </w:p>
        </w:tc>
        <w:tc>
          <w:tcPr>
            <w:tcW w:w="6576" w:type="dxa"/>
          </w:tcPr>
          <w:p>
            <w:pPr>
              <w:pStyle w:val="0"/>
              <w:jc w:val="both"/>
            </w:pPr>
            <w:r>
              <w:rPr>
                <w:sz w:val="20"/>
              </w:rPr>
              <w:t xml:space="preserve">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tc>
          <w:tcPr>
            <w:tcW w:w="2494" w:type="dxa"/>
            <w:vAlign w:val="center"/>
          </w:tcPr>
          <w:p>
            <w:pPr>
              <w:pStyle w:val="0"/>
            </w:pPr>
            <w:r>
              <w:rPr>
                <w:sz w:val="20"/>
              </w:rPr>
              <w:t xml:space="preserve">Совместная и индивидуальная учебная и воспитательная деятельность обучающихся</w:t>
            </w:r>
          </w:p>
        </w:tc>
        <w:tc>
          <w:tcPr>
            <w:tcW w:w="6576" w:type="dxa"/>
          </w:tcPr>
          <w:p>
            <w:pPr>
              <w:pStyle w:val="0"/>
              <w:jc w:val="both"/>
            </w:pPr>
            <w:r>
              <w:rPr>
                <w:sz w:val="20"/>
              </w:rPr>
              <w:t xml:space="preserve">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tc>
          <w:tcPr>
            <w:tcW w:w="2494" w:type="dxa"/>
            <w:vAlign w:val="center"/>
          </w:tcPr>
          <w:p>
            <w:pPr>
              <w:pStyle w:val="0"/>
            </w:pPr>
            <w:r>
              <w:rPr>
                <w:sz w:val="20"/>
              </w:rPr>
              <w:t xml:space="preserve">Построение воспитывающей образовательной среды</w:t>
            </w:r>
          </w:p>
        </w:tc>
        <w:tc>
          <w:tcPr>
            <w:tcW w:w="6576" w:type="dxa"/>
          </w:tcPr>
          <w:p>
            <w:pPr>
              <w:pStyle w:val="0"/>
              <w:jc w:val="both"/>
            </w:pPr>
            <w:r>
              <w:rPr>
                <w:sz w:val="20"/>
              </w:rPr>
              <w:t xml:space="preserve">ОПК-4. Способен осуществлять духовно-нравственное воспитание обучающихся на основе базовых национальных ценностей</w:t>
            </w:r>
          </w:p>
        </w:tc>
      </w:tr>
      <w:tr>
        <w:tc>
          <w:tcPr>
            <w:tcW w:w="2494" w:type="dxa"/>
            <w:vAlign w:val="center"/>
          </w:tcPr>
          <w:p>
            <w:pPr>
              <w:pStyle w:val="0"/>
            </w:pPr>
            <w:r>
              <w:rPr>
                <w:sz w:val="20"/>
              </w:rPr>
              <w:t xml:space="preserve">Контроль и оценка формирования результатов образования</w:t>
            </w:r>
          </w:p>
        </w:tc>
        <w:tc>
          <w:tcPr>
            <w:tcW w:w="6576" w:type="dxa"/>
          </w:tcPr>
          <w:p>
            <w:pPr>
              <w:pStyle w:val="0"/>
              <w:jc w:val="both"/>
            </w:pPr>
            <w:r>
              <w:rPr>
                <w:sz w:val="20"/>
              </w:rPr>
              <w:t xml:space="preserve">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tc>
          <w:tcPr>
            <w:tcW w:w="2494" w:type="dxa"/>
            <w:vAlign w:val="center"/>
          </w:tcPr>
          <w:p>
            <w:pPr>
              <w:pStyle w:val="0"/>
            </w:pPr>
            <w:r>
              <w:rPr>
                <w:sz w:val="20"/>
              </w:rPr>
              <w:t xml:space="preserve">Психолого-педагогические технологии в профессиональной деятельности</w:t>
            </w:r>
          </w:p>
        </w:tc>
        <w:tc>
          <w:tcPr>
            <w:tcW w:w="6576" w:type="dxa"/>
          </w:tcPr>
          <w:p>
            <w:pPr>
              <w:pStyle w:val="0"/>
              <w:jc w:val="both"/>
            </w:pPr>
            <w:r>
              <w:rPr>
                <w:sz w:val="20"/>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tc>
          <w:tcPr>
            <w:tcW w:w="2494" w:type="dxa"/>
            <w:vAlign w:val="center"/>
          </w:tcPr>
          <w:p>
            <w:pPr>
              <w:pStyle w:val="0"/>
            </w:pPr>
            <w:r>
              <w:rPr>
                <w:sz w:val="20"/>
              </w:rPr>
              <w:t xml:space="preserve">Взаимодействие с участниками образовательных отношений</w:t>
            </w:r>
          </w:p>
        </w:tc>
        <w:tc>
          <w:tcPr>
            <w:tcW w:w="6576" w:type="dxa"/>
          </w:tcPr>
          <w:p>
            <w:pPr>
              <w:pStyle w:val="0"/>
              <w:jc w:val="both"/>
            </w:pPr>
            <w:r>
              <w:rPr>
                <w:sz w:val="20"/>
              </w:rPr>
              <w:t xml:space="preserve">ОПК-7. Способен взаимодействовать с участниками образовательных отношений в рамках реализации образовательных программ</w:t>
            </w:r>
          </w:p>
        </w:tc>
      </w:tr>
      <w:tr>
        <w:tc>
          <w:tcPr>
            <w:tcW w:w="2494" w:type="dxa"/>
            <w:vAlign w:val="center"/>
          </w:tcPr>
          <w:p>
            <w:pPr>
              <w:pStyle w:val="0"/>
            </w:pPr>
            <w:r>
              <w:rPr>
                <w:sz w:val="20"/>
              </w:rPr>
              <w:t xml:space="preserve">Научные основы педагогической деятельности</w:t>
            </w:r>
          </w:p>
        </w:tc>
        <w:tc>
          <w:tcPr>
            <w:tcW w:w="6576" w:type="dxa"/>
          </w:tcPr>
          <w:p>
            <w:pPr>
              <w:pStyle w:val="0"/>
              <w:jc w:val="both"/>
            </w:pPr>
            <w:r>
              <w:rPr>
                <w:sz w:val="20"/>
              </w:rPr>
              <w:t xml:space="preserve">ОПК-8. Способен осуществлять педагогическую деятельность на основе специальных научных знаний</w:t>
            </w:r>
          </w:p>
        </w:tc>
      </w:tr>
      <w:tr>
        <w:tblPrEx>
          <w:tblBorders>
            <w:insideH w:val="nil"/>
          </w:tblBorders>
        </w:tblPrEx>
        <w:tc>
          <w:tcPr>
            <w:tcW w:w="2494" w:type="dxa"/>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576" w:type="dxa"/>
            <w:tcBorders>
              <w:bottom w:val="nil"/>
            </w:tcBorders>
          </w:tcPr>
          <w:p>
            <w:pPr>
              <w:pStyle w:val="0"/>
              <w:jc w:val="both"/>
            </w:pPr>
            <w:r>
              <w:rPr>
                <w:sz w:val="20"/>
              </w:rPr>
              <w:t xml:space="preserve">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70" w:type="dxa"/>
            <w:tcBorders>
              <w:top w:val="nil"/>
            </w:tcBorders>
          </w:tcPr>
          <w:p>
            <w:pPr>
              <w:pStyle w:val="0"/>
              <w:jc w:val="both"/>
            </w:pPr>
            <w:r>
              <w:rPr>
                <w:sz w:val="20"/>
              </w:rPr>
              <w:t xml:space="preserve">(введено </w:t>
            </w:r>
            <w:hyperlink w:history="0" r:id="rId2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history="0" w:anchor="P290" w:tooltip="ПЕРЕЧЕНЬ">
        <w:r>
          <w:rPr>
            <w:sz w:val="20"/>
            <w:color w:val="0000ff"/>
          </w:rPr>
          <w:t xml:space="preserve">приложении</w:t>
        </w:r>
      </w:hyperlink>
      <w:r>
        <w:rPr>
          <w:sz w:val="20"/>
        </w:rP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9">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31"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history="0" w:anchor="P67" w:tooltip="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4"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4"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100" w:tooltip="Блок 1">
        <w:r>
          <w:rPr>
            <w:sz w:val="20"/>
            <w:color w:val="0000ff"/>
          </w:rPr>
          <w:t xml:space="preserve">Блоку 1</w:t>
        </w:r>
      </w:hyperlink>
      <w:r>
        <w:rPr>
          <w:sz w:val="20"/>
        </w:rPr>
        <w:t xml:space="preserve"> "Дисциплины (модули)" и </w:t>
      </w:r>
      <w:hyperlink w:history="0" w:anchor="P106"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w:history="0" r:id="rId36"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pPr>
        <w:pStyle w:val="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8"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высшего образования - бакалавриат</w:t>
      </w:r>
    </w:p>
    <w:p>
      <w:pPr>
        <w:pStyle w:val="0"/>
        <w:jc w:val="right"/>
      </w:pPr>
      <w:r>
        <w:rPr>
          <w:sz w:val="20"/>
        </w:rPr>
        <w:t xml:space="preserve">по направлению подготовки</w:t>
      </w:r>
    </w:p>
    <w:p>
      <w:pPr>
        <w:pStyle w:val="0"/>
        <w:jc w:val="right"/>
      </w:pPr>
      <w:r>
        <w:rPr>
          <w:sz w:val="20"/>
        </w:rPr>
        <w:t xml:space="preserve">44.03.02 Психолого-педагогическое</w:t>
      </w:r>
    </w:p>
    <w:p>
      <w:pPr>
        <w:pStyle w:val="0"/>
        <w:jc w:val="right"/>
      </w:pPr>
      <w:r>
        <w:rPr>
          <w:sz w:val="20"/>
        </w:rPr>
        <w:t xml:space="preserve">образование, утвержденному</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февраля 2018 г. N 122</w:t>
      </w:r>
    </w:p>
    <w:p>
      <w:pPr>
        <w:pStyle w:val="0"/>
        <w:jc w:val="both"/>
      </w:pPr>
      <w:r>
        <w:rPr>
          <w:sz w:val="20"/>
        </w:rPr>
      </w:r>
    </w:p>
    <w:bookmarkStart w:id="290" w:name="P290"/>
    <w:bookmarkEnd w:id="290"/>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ОСВОИВШИХ</w:t>
      </w:r>
    </w:p>
    <w:p>
      <w:pPr>
        <w:pStyle w:val="2"/>
        <w:jc w:val="center"/>
      </w:pPr>
      <w:r>
        <w:rPr>
          <w:sz w:val="20"/>
        </w:rPr>
        <w:t xml:space="preserve">ПРОГРАММУ БАКАЛАВРИАТА ПО НАПРАВЛЕНИЮ ПОДГОТОВКИ</w:t>
      </w:r>
    </w:p>
    <w:p>
      <w:pPr>
        <w:pStyle w:val="2"/>
        <w:jc w:val="center"/>
      </w:pPr>
      <w:r>
        <w:rPr>
          <w:sz w:val="20"/>
        </w:rPr>
        <w:t xml:space="preserve">44.03.02 ПСИХОЛОГО-ПЕДАГОГИЧЕСКОЕ ОБРАЗОВАНИЕ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37"/>
        <w:gridCol w:w="6236"/>
      </w:tblGrid>
      <w:tr>
        <w:tc>
          <w:tcPr>
            <w:tcW w:w="567" w:type="dxa"/>
          </w:tcPr>
          <w:p>
            <w:pPr>
              <w:pStyle w:val="0"/>
              <w:jc w:val="center"/>
            </w:pPr>
            <w:r>
              <w:rPr>
                <w:sz w:val="20"/>
              </w:rPr>
              <w:t xml:space="preserve">N п/п</w:t>
            </w:r>
          </w:p>
        </w:tc>
        <w:tc>
          <w:tcPr>
            <w:tcW w:w="2237" w:type="dxa"/>
          </w:tcPr>
          <w:p>
            <w:pPr>
              <w:pStyle w:val="0"/>
              <w:jc w:val="center"/>
            </w:pPr>
            <w:r>
              <w:rPr>
                <w:sz w:val="20"/>
              </w:rPr>
              <w:t xml:space="preserve">Код профессионального стандарта</w:t>
            </w:r>
          </w:p>
        </w:tc>
        <w:tc>
          <w:tcPr>
            <w:tcW w:w="6236" w:type="dxa"/>
          </w:tcPr>
          <w:p>
            <w:pPr>
              <w:pStyle w:val="0"/>
              <w:jc w:val="center"/>
            </w:pPr>
            <w:r>
              <w:rPr>
                <w:sz w:val="20"/>
              </w:rPr>
              <w:t xml:space="preserve">Наименование области профессиональной деятельности. Наименование профессионального стандарта</w:t>
            </w:r>
          </w:p>
        </w:tc>
      </w:tr>
      <w:tr>
        <w:tc>
          <w:tcPr>
            <w:gridSpan w:val="3"/>
            <w:tcW w:w="9040" w:type="dxa"/>
            <w:vAlign w:val="center"/>
          </w:tcPr>
          <w:p>
            <w:pPr>
              <w:pStyle w:val="0"/>
              <w:outlineLvl w:val="2"/>
              <w:jc w:val="center"/>
            </w:pPr>
            <w:r>
              <w:rPr>
                <w:sz w:val="20"/>
              </w:rPr>
              <w:t xml:space="preserve">01 Образование и наука</w:t>
            </w:r>
          </w:p>
        </w:tc>
      </w:tr>
      <w:tr>
        <w:tc>
          <w:tcPr>
            <w:tcW w:w="567" w:type="dxa"/>
            <w:vAlign w:val="center"/>
          </w:tcPr>
          <w:p>
            <w:pPr>
              <w:pStyle w:val="0"/>
              <w:jc w:val="center"/>
            </w:pPr>
            <w:r>
              <w:rPr>
                <w:sz w:val="20"/>
              </w:rPr>
              <w:t xml:space="preserve">1.</w:t>
            </w:r>
          </w:p>
        </w:tc>
        <w:tc>
          <w:tcPr>
            <w:tcW w:w="2237" w:type="dxa"/>
            <w:vAlign w:val="center"/>
          </w:tcPr>
          <w:p>
            <w:pPr>
              <w:pStyle w:val="0"/>
              <w:jc w:val="center"/>
            </w:pPr>
            <w:r>
              <w:rPr>
                <w:sz w:val="20"/>
              </w:rPr>
              <w:t xml:space="preserve">01.001</w:t>
            </w:r>
          </w:p>
        </w:tc>
        <w:tc>
          <w:tcPr>
            <w:tcW w:w="6236" w:type="dxa"/>
          </w:tcPr>
          <w:p>
            <w:pPr>
              <w:pStyle w:val="0"/>
              <w:ind w:firstLine="283"/>
              <w:jc w:val="both"/>
            </w:pPr>
            <w:r>
              <w:rPr>
                <w:sz w:val="20"/>
              </w:rPr>
              <w:t xml:space="preserve">Профессиональный </w:t>
            </w:r>
            <w:hyperlink w:history="0" r:id="rId39" w:tooltip="Приказ Минтруда России от 18.10.2013 N 544н (ред. от 05.08.2016) &quot;Об утверждении профессионального стандарта &quot;Педагог (педагогическая деятельность в сфере дошкольного, начального общего, основного общего, среднего общего образования) (воспитатель, учитель)&quot; (Зарегистрировано в Минюсте России 06.12.2013 N 30550) {КонсультантПлюс}">
              <w:r>
                <w:rPr>
                  <w:sz w:val="20"/>
                  <w:color w:val="0000ff"/>
                </w:rPr>
                <w:t xml:space="preserve">стандарт</w:t>
              </w:r>
            </w:hyperlink>
            <w:r>
              <w:rPr>
                <w:sz w:val="20"/>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tc>
          <w:tcPr>
            <w:tcW w:w="567" w:type="dxa"/>
            <w:vAlign w:val="center"/>
          </w:tcPr>
          <w:p>
            <w:pPr>
              <w:pStyle w:val="0"/>
              <w:jc w:val="center"/>
            </w:pPr>
            <w:r>
              <w:rPr>
                <w:sz w:val="20"/>
              </w:rPr>
              <w:t xml:space="preserve">2.</w:t>
            </w:r>
          </w:p>
        </w:tc>
        <w:tc>
          <w:tcPr>
            <w:tcW w:w="2237" w:type="dxa"/>
            <w:vAlign w:val="center"/>
          </w:tcPr>
          <w:p>
            <w:pPr>
              <w:pStyle w:val="0"/>
              <w:jc w:val="center"/>
            </w:pPr>
            <w:r>
              <w:rPr>
                <w:sz w:val="20"/>
              </w:rPr>
              <w:t xml:space="preserve">01.002</w:t>
            </w:r>
          </w:p>
        </w:tc>
        <w:tc>
          <w:tcPr>
            <w:tcW w:w="6236" w:type="dxa"/>
          </w:tcPr>
          <w:p>
            <w:pPr>
              <w:pStyle w:val="0"/>
              <w:ind w:firstLine="283"/>
              <w:jc w:val="both"/>
            </w:pPr>
            <w:r>
              <w:rPr>
                <w:sz w:val="20"/>
              </w:rPr>
              <w:t xml:space="preserve">Профессиональный </w:t>
            </w:r>
            <w:hyperlink w:history="0" r:id="rId40" w:tooltip="Приказ Минтруда России от 24.07.2015 N 514н &quot;Об утверждении профессионального стандарта &quot;Педагог-психолог (психолог в сфере образования)&quot; (Зарегистрировано в Минюсте России 18.08.2015 N 38575) {КонсультантПлюс}">
              <w:r>
                <w:rPr>
                  <w:sz w:val="20"/>
                  <w:color w:val="0000ff"/>
                </w:rPr>
                <w:t xml:space="preserve">стандарт</w:t>
              </w:r>
            </w:hyperlink>
            <w:r>
              <w:rPr>
                <w:sz w:val="20"/>
              </w:rP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tc>
          <w:tcPr>
            <w:tcW w:w="567" w:type="dxa"/>
            <w:vAlign w:val="center"/>
          </w:tcPr>
          <w:p>
            <w:pPr>
              <w:pStyle w:val="0"/>
              <w:jc w:val="center"/>
            </w:pPr>
            <w:r>
              <w:rPr>
                <w:sz w:val="20"/>
              </w:rPr>
              <w:t xml:space="preserve">3.</w:t>
            </w:r>
          </w:p>
        </w:tc>
        <w:tc>
          <w:tcPr>
            <w:tcW w:w="2237" w:type="dxa"/>
            <w:vAlign w:val="center"/>
          </w:tcPr>
          <w:p>
            <w:pPr>
              <w:pStyle w:val="0"/>
              <w:jc w:val="center"/>
            </w:pPr>
            <w:r>
              <w:rPr>
                <w:sz w:val="20"/>
              </w:rPr>
              <w:t xml:space="preserve">01.003</w:t>
            </w:r>
          </w:p>
        </w:tc>
        <w:tc>
          <w:tcPr>
            <w:tcW w:w="6236" w:type="dxa"/>
          </w:tcPr>
          <w:p>
            <w:pPr>
              <w:pStyle w:val="0"/>
              <w:ind w:firstLine="283"/>
              <w:jc w:val="both"/>
            </w:pPr>
            <w:r>
              <w:rPr>
                <w:sz w:val="20"/>
              </w:rPr>
              <w:t xml:space="preserve">Профессиональный </w:t>
            </w:r>
            <w:hyperlink w:history="0" r:id="rId41" w:tooltip="Приказ Минтруда России от 08.09.2015 N 613н &quot;Об утверждении профессионального стандарта &quot;Педагог дополнительного образования детей и взрослых&quot; (Зарегистрировано в Минюсте России 24.09.2015 N 38994) ------------ Утратил силу или отменен {КонсультантПлюс}">
              <w:r>
                <w:rPr>
                  <w:sz w:val="20"/>
                  <w:color w:val="0000ff"/>
                </w:rPr>
                <w:t xml:space="preserve">стандарт</w:t>
              </w:r>
            </w:hyperlink>
            <w:r>
              <w:rPr>
                <w:sz w:val="20"/>
              </w:rP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tc>
          <w:tcPr>
            <w:tcW w:w="567" w:type="dxa"/>
            <w:vAlign w:val="center"/>
          </w:tcPr>
          <w:p>
            <w:pPr>
              <w:pStyle w:val="0"/>
              <w:jc w:val="center"/>
            </w:pPr>
            <w:r>
              <w:rPr>
                <w:sz w:val="20"/>
              </w:rPr>
              <w:t xml:space="preserve">4.</w:t>
            </w:r>
          </w:p>
        </w:tc>
        <w:tc>
          <w:tcPr>
            <w:tcW w:w="2237" w:type="dxa"/>
            <w:vAlign w:val="center"/>
          </w:tcPr>
          <w:p>
            <w:pPr>
              <w:pStyle w:val="0"/>
              <w:jc w:val="center"/>
            </w:pPr>
            <w:r>
              <w:rPr>
                <w:sz w:val="20"/>
              </w:rPr>
              <w:t xml:space="preserve">01.004</w:t>
            </w:r>
          </w:p>
        </w:tc>
        <w:tc>
          <w:tcPr>
            <w:tcW w:w="6236" w:type="dxa"/>
          </w:tcPr>
          <w:p>
            <w:pPr>
              <w:pStyle w:val="0"/>
              <w:ind w:firstLine="283"/>
              <w:jc w:val="both"/>
            </w:pPr>
            <w:r>
              <w:rPr>
                <w:sz w:val="20"/>
              </w:rPr>
              <w:t xml:space="preserve">Профессиональный </w:t>
            </w:r>
            <w:hyperlink w:history="0" r:id="rId42" w:tooltip="Приказ Минтруда России от 08.09.2015 N 608н &quot;Об утверждении профессионального стандарта &quot;Педагог профессионального обучения, профессионального образования и дополнительного профессионального образования&quot; (Зарегистрировано в Минюсте России 24.09.2015 N 38993) ------------ Утратил силу или отменен {КонсультантПлюс}">
              <w:r>
                <w:rPr>
                  <w:sz w:val="20"/>
                  <w:color w:val="0000ff"/>
                </w:rPr>
                <w:t xml:space="preserve">стандарт</w:t>
              </w:r>
            </w:hyperlink>
            <w:r>
              <w:rPr>
                <w:sz w:val="20"/>
              </w:rP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22.02.2018 N 122</w:t>
            <w:br/>
            <w:t>(ред. от 27.02.2023)</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2786" TargetMode = "External"/><Relationship Id="rId9" Type="http://schemas.openxmlformats.org/officeDocument/2006/relationships/hyperlink" Target="https://login.consultant.ru/link/?req=doc&amp;base=RZR&amp;n=379282&amp;dst=101390" TargetMode = "External"/><Relationship Id="rId10" Type="http://schemas.openxmlformats.org/officeDocument/2006/relationships/hyperlink" Target="https://login.consultant.ru/link/?req=doc&amp;base=RZR&amp;n=428382&amp;dst=100407" TargetMode = "External"/><Relationship Id="rId11" Type="http://schemas.openxmlformats.org/officeDocument/2006/relationships/hyperlink" Target="https://login.consultant.ru/link/?req=doc&amp;base=RZR&amp;n=443783&amp;dst=10099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98476&amp;dst=100013" TargetMode = "External"/><Relationship Id="rId14" Type="http://schemas.openxmlformats.org/officeDocument/2006/relationships/hyperlink" Target="https://login.consultant.ru/link/?req=doc&amp;base=RZR&amp;n=385079&amp;dst=102786" TargetMode = "External"/><Relationship Id="rId15" Type="http://schemas.openxmlformats.org/officeDocument/2006/relationships/hyperlink" Target="https://login.consultant.ru/link/?req=doc&amp;base=RZR&amp;n=379282&amp;dst=101390" TargetMode = "External"/><Relationship Id="rId16" Type="http://schemas.openxmlformats.org/officeDocument/2006/relationships/hyperlink" Target="https://login.consultant.ru/link/?req=doc&amp;base=RZR&amp;n=428382&amp;dst=100407" TargetMode = "External"/><Relationship Id="rId17" Type="http://schemas.openxmlformats.org/officeDocument/2006/relationships/hyperlink" Target="https://login.consultant.ru/link/?req=doc&amp;base=RZR&amp;n=443783&amp;dst=10099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214720&amp;dst=100050" TargetMode = "External"/><Relationship Id="rId21" Type="http://schemas.openxmlformats.org/officeDocument/2006/relationships/hyperlink" Target="https://login.consultant.ru/link/?req=doc&amp;base=RZR&amp;n=214720&amp;dst=100054" TargetMode = "External"/><Relationship Id="rId22" Type="http://schemas.openxmlformats.org/officeDocument/2006/relationships/hyperlink" Target="https://login.consultant.ru/link/?req=doc&amp;base=RZR&amp;n=428382&amp;dst=100407" TargetMode = "External"/><Relationship Id="rId23" Type="http://schemas.openxmlformats.org/officeDocument/2006/relationships/hyperlink" Target="https://login.consultant.ru/link/?req=doc&amp;base=RZR&amp;n=379282&amp;dst=101392" TargetMode = "External"/><Relationship Id="rId24" Type="http://schemas.openxmlformats.org/officeDocument/2006/relationships/hyperlink" Target="https://login.consultant.ru/link/?req=doc&amp;base=RZR&amp;n=379282&amp;dst=101394" TargetMode = "External"/><Relationship Id="rId25" Type="http://schemas.openxmlformats.org/officeDocument/2006/relationships/hyperlink" Target="https://login.consultant.ru/link/?req=doc&amp;base=RZR&amp;n=385079&amp;dst=102788" TargetMode = "External"/><Relationship Id="rId26" Type="http://schemas.openxmlformats.org/officeDocument/2006/relationships/hyperlink" Target="https://login.consultant.ru/link/?req=doc&amp;base=RZR&amp;n=385079&amp;dst=102798" TargetMode = "External"/><Relationship Id="rId27" Type="http://schemas.openxmlformats.org/officeDocument/2006/relationships/hyperlink" Target="https://login.consultant.ru/link/?req=doc&amp;base=RZR&amp;n=443783&amp;dst=100994" TargetMode = "External"/><Relationship Id="rId28" Type="http://schemas.openxmlformats.org/officeDocument/2006/relationships/hyperlink" Target="https://login.consultant.ru/link/?req=doc&amp;base=RZR&amp;n=385079&amp;dst=102805" TargetMode = "External"/><Relationship Id="rId29" Type="http://schemas.openxmlformats.org/officeDocument/2006/relationships/hyperlink" Target="http://profstandart.rosmintrud.ru" TargetMode = "External"/><Relationship Id="rId30" Type="http://schemas.openxmlformats.org/officeDocument/2006/relationships/hyperlink" Target="https://login.consultant.ru/link/?req=doc&amp;base=RZR&amp;n=214720&amp;dst=100006" TargetMode = "External"/><Relationship Id="rId31" Type="http://schemas.openxmlformats.org/officeDocument/2006/relationships/hyperlink" Target="https://login.consultant.ru/link/?req=doc&amp;base=RZR&amp;n=379282&amp;dst=101396" TargetMode = "External"/><Relationship Id="rId32" Type="http://schemas.openxmlformats.org/officeDocument/2006/relationships/hyperlink" Target="https://login.consultant.ru/link/?req=doc&amp;base=RZR&amp;n=146970" TargetMode = "External"/><Relationship Id="rId33" Type="http://schemas.openxmlformats.org/officeDocument/2006/relationships/hyperlink" Target="https://login.consultant.ru/link/?req=doc&amp;base=RZR&amp;n=379282&amp;dst=101400" TargetMode = "External"/><Relationship Id="rId34" Type="http://schemas.openxmlformats.org/officeDocument/2006/relationships/hyperlink" Target="https://login.consultant.ru/link/?req=doc&amp;base=RZR&amp;n=379282&amp;dst=101401" TargetMode = "External"/><Relationship Id="rId35" Type="http://schemas.openxmlformats.org/officeDocument/2006/relationships/hyperlink" Target="https://login.consultant.ru/link/?req=doc&amp;base=RZR&amp;n=511583" TargetMode = "External"/><Relationship Id="rId36" Type="http://schemas.openxmlformats.org/officeDocument/2006/relationships/hyperlink" Target="https://login.consultant.ru/link/?req=doc&amp;base=RZR&amp;n=499769" TargetMode = "External"/><Relationship Id="rId37" Type="http://schemas.openxmlformats.org/officeDocument/2006/relationships/hyperlink" Target="https://login.consultant.ru/link/?req=doc&amp;base=RZR&amp;n=521255&amp;dst=100947" TargetMode = "External"/><Relationship Id="rId38" Type="http://schemas.openxmlformats.org/officeDocument/2006/relationships/hyperlink" Target="https://login.consultant.ru/link/?req=doc&amp;base=RZR&amp;n=379282&amp;dst=101403" TargetMode = "External"/><Relationship Id="rId39" Type="http://schemas.openxmlformats.org/officeDocument/2006/relationships/hyperlink" Target="https://login.consultant.ru/link/?req=doc&amp;base=RZR&amp;n=203805&amp;dst=100010" TargetMode = "External"/><Relationship Id="rId40" Type="http://schemas.openxmlformats.org/officeDocument/2006/relationships/hyperlink" Target="https://login.consultant.ru/link/?req=doc&amp;base=RZR&amp;n=185098&amp;dst=100010" TargetMode = "External"/><Relationship Id="rId41" Type="http://schemas.openxmlformats.org/officeDocument/2006/relationships/hyperlink" Target="https://login.consultant.ru/link/?req=doc&amp;base=RZR&amp;n=186767&amp;dst=100010" TargetMode = "External"/><Relationship Id="rId42" Type="http://schemas.openxmlformats.org/officeDocument/2006/relationships/hyperlink" Target="https://login.consultant.ru/link/?req=doc&amp;base=RZR&amp;n=186851&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22.02.2018 N 122
(ред. от 27.02.2023)
"Об утверждении федерального государственного образовательного стандарта высшего образования - бакалавриат по направлению подготовки 44.03.02 Психолого-педагогическое образование"
(Зарегистрировано в Минюсте России 15.03.2018 N 50364)</dc:title>
  <dcterms:created xsi:type="dcterms:W3CDTF">2026-06-05T08:25:06Z</dcterms:created>
</cp:coreProperties>
</file>