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05.05.2022 N 308</w:t>
              <w:br/>
              <w:t xml:space="preserve">(ред. от 03.07.2024)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отраслям)"</w:t>
              <w:br/>
              <w:t xml:space="preserve">(Зарегистрировано в Минюсте России 25.07.2022 N 69375)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России 25 июля 2022 г. N 69375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5 МАЯ 2022 г. N 308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54.02.01 ДИЗАЙН (ПО ОТРАСЛЯМ)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01.09.2022 </w:t>
            </w:r>
            <w:hyperlink w:history="0" r:id="rId8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sz w:val="20"/>
                  <w:color w:val="0000ff"/>
                </w:rPr>
                <w:t xml:space="preserve">N 796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03.07.2024 </w:t>
            </w:r>
            <w:hyperlink w:history="0" r:id="rId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N 464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Постановление Правительства РФ от 28.07.2018 N 884 (ред. от 23.04.2026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11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7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54.02.01 Дизайн (по отраслям).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7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2" w:tooltip="Приказ Минпросвещения России от 23.11.2020 N 658 &quot;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&quot; (Зарегистрировано в Минюсте России 21.12.2020 N 61657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54.02.01</w:t>
        </w:r>
      </w:hyperlink>
      <w:r>
        <w:rPr>
          <w:sz w:val="20"/>
        </w:rPr>
        <w:t xml:space="preserve"> Дизайн (по отраслям), утвержденным приказом Министерства просвещения Российской Федерации от 23 ноября 2020 г. N 658 (зарегистрирован Министерством юстиции Российской Федерации 21 декабря 2020 г., регистрационный N 61657), прекращается с 31 декабря 2022 г., а при реализации образовательной организацией образовательной программы по специальности </w:t>
      </w:r>
      <w:hyperlink w:history="0" r:id="rId14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54.02.01</w:t>
        </w:r>
      </w:hyperlink>
      <w:r>
        <w:rPr>
          <w:sz w:val="20"/>
        </w:rPr>
        <w:t xml:space="preserve"> Дизайн (по отраслям)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проводимого в соответствии с </w:t>
      </w:r>
      <w:hyperlink w:history="0" r:id="rId15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16 марта 2022 г. N 387 (Собрание законодательства Российской Федерации, 2022, N 12, ст. 1871), - с 1 августа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А.А.КОРНЕЕВ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мая 2022 г. N 308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54.02.01 ДИЗАЙН (ПО ОТРАСЛЯМ)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01.09.2022 </w:t>
            </w:r>
            <w:hyperlink w:history="0" r:id="rId16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sz w:val="20"/>
                  <w:color w:val="0000ff"/>
                </w:rPr>
                <w:t xml:space="preserve">N 796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03.07.2024 </w:t>
            </w:r>
            <w:hyperlink w:history="0" r:id="rId1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N 464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8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54.02.01</w:t>
        </w:r>
      </w:hyperlink>
      <w:r>
        <w:rPr>
          <w:sz w:val="20"/>
        </w:rPr>
        <w:t xml:space="preserve"> Дизайн (по отраслям) (далее соответственно - ФГОС СПО, образовательная программа, специальность) в соответствии с одной из выбранных квалификаций специалиста среднего звена "дизайнер"/"дизайнер, преподаватель"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9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2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2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квалификации "дизайнер" в очной и очно-заочной формах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квалификации "дизайнер, преподаватель"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5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6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73" w:name="P73"/>
    <w:bookmarkEnd w:id="73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квалификации "дизайнер":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- 2 года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- 3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форме вне зависимости от применяемых образовательных технологий увеличивается по сравнению со сроком получения образования в очной форме обучения: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чем на 1,5 года при получении образования на базе основного общего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чем на 1 год при получении образования на базе среднего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квалификации "дизайнер, преподаватель" на базе основного общего образования составляет 3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 составляет не более срока получения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73" w:tooltip="1.9. Срок получения образования по образовательной программе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Срок получения образования по образовательной программе в соответствии с квалификацией "дизайнер",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 СПО &lt;5&gt;.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8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>
      <w:pPr>
        <w:pStyle w:val="0"/>
        <w:jc w:val="both"/>
      </w:pPr>
      <w:r>
        <w:rPr>
          <w:sz w:val="20"/>
        </w:rPr>
      </w:r>
    </w:p>
    <w:bookmarkStart w:id="90" w:name="P90"/>
    <w:bookmarkEnd w:id="90"/>
    <w:p>
      <w:pPr>
        <w:pStyle w:val="0"/>
        <w:ind w:firstLine="540"/>
        <w:jc w:val="both"/>
      </w:pPr>
      <w:r>
        <w:rPr>
          <w:sz w:val="20"/>
        </w:rP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квалификации "дизайнер": </w:t>
      </w:r>
      <w:hyperlink w:history="0" r:id="rId2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. Архитектура, проектирование, геодезия, топография и дизайн; </w:t>
      </w:r>
      <w:hyperlink w:history="0" r:id="rId3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. Средства массовой информации, издательство и полиграфия: </w:t>
      </w:r>
      <w:hyperlink w:history="0" r:id="rId3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. Легкая и текстильная промышленность; </w:t>
      </w:r>
      <w:hyperlink w:history="0" r:id="rId3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.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квалификации "дизайнер, преподаватель": </w:t>
      </w:r>
      <w:hyperlink w:history="0" r:id="rId3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наука, </w:t>
      </w:r>
      <w:hyperlink w:history="0" r:id="rId3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04</w:t>
        </w:r>
      </w:hyperlink>
      <w:r>
        <w:rPr>
          <w:sz w:val="20"/>
        </w:rPr>
        <w:t xml:space="preserve"> Культура, искусство, </w:t>
      </w:r>
      <w:hyperlink w:history="0" r:id="rId3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Средства массовой информации, издательство и полиграфия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При разработке образовательной программы образовательная организация устанавливает направленность, которая соответствует выбранной квалификации, с учетом соответствующей ПОП.</w:t>
      </w:r>
    </w:p>
    <w:p>
      <w:pPr>
        <w:pStyle w:val="0"/>
        <w:jc w:val="both"/>
      </w:pPr>
      <w:r>
        <w:rPr>
          <w:sz w:val="20"/>
        </w:rPr>
        <w:t xml:space="preserve">(п. 1.15 в ред. </w:t>
      </w:r>
      <w:hyperlink w:history="0" r:id="rId3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с присвоением квалификации "дизайнер" </w:t>
      </w:r>
      <w:hyperlink w:history="0" w:anchor="P111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гуманитарный и социально-экономический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математический и общий естественно-научный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111" w:name="P111"/>
    <w:bookmarkEnd w:id="111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2"/>
        <w:gridCol w:w="2777"/>
      </w:tblGrid>
      <w:tr>
        <w:tc>
          <w:tcPr>
            <w:tcW w:w="62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 в академических часах</w:t>
            </w:r>
          </w:p>
        </w:tc>
      </w:tr>
      <w:tr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цикл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468</w:t>
            </w:r>
          </w:p>
        </w:tc>
      </w:tr>
      <w:tr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естественно-научный цикл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144</w:t>
            </w:r>
          </w:p>
        </w:tc>
      </w:tr>
      <w:tr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Общепрофессиональный цикл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612</w:t>
            </w:r>
          </w:p>
        </w:tc>
      </w:tr>
      <w:tr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цикл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1 728</w:t>
            </w:r>
          </w:p>
        </w:tc>
      </w:tr>
      <w:tr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</w:t>
            </w:r>
          </w:p>
        </w:tc>
      </w:tr>
      <w:tr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4 464</w:t>
            </w:r>
          </w:p>
        </w:tc>
      </w:tr>
      <w:tr>
        <w:tblPrEx>
          <w:tblBorders>
            <w:insideH w:val="nil"/>
          </w:tblBorders>
        </w:tblPrEx>
        <w:tc>
          <w:tcPr>
            <w:tcW w:w="629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7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Минпросвещения России от 03.07.2024 N 464)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Структура и объем образовательной программы с присвоением квалификации "дизайнер, преподаватель" </w:t>
      </w:r>
      <w:hyperlink w:history="0" w:anchor="P140" w:tooltip="Структура и объем образовательной программы">
        <w:r>
          <w:rPr>
            <w:sz w:val="20"/>
            <w:color w:val="0000ff"/>
          </w:rPr>
          <w:t xml:space="preserve">(таблица N 2)</w:t>
        </w:r>
      </w:hyperlink>
      <w:r>
        <w:rPr>
          <w:sz w:val="20"/>
        </w:rPr>
        <w:t xml:space="preserve"> включает циклы: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общеобразовательный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bookmarkStart w:id="140" w:name="P140"/>
    <w:bookmarkEnd w:id="140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2"/>
        <w:gridCol w:w="2777"/>
      </w:tblGrid>
      <w:tr>
        <w:tc>
          <w:tcPr>
            <w:tcW w:w="62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3636</w:t>
            </w:r>
          </w:p>
        </w:tc>
      </w:tr>
      <w:tr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756</w:t>
            </w:r>
          </w:p>
        </w:tc>
      </w:tr>
      <w:tr>
        <w:tc>
          <w:tcPr>
            <w:tcW w:w="629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</w:tr>
      <w:tr>
        <w:tc>
          <w:tcPr>
            <w:gridSpan w:val="2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blPrEx>
          <w:tblBorders>
            <w:insideH w:val="nil"/>
          </w:tblBorders>
        </w:tblPrEx>
        <w:tc>
          <w:tcPr>
            <w:tcW w:w="629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7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Минпросвещения России от 03.07.2024 N 464)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времени, отводимого на реализацию обязательной части образовательной программы, без учета времени на государственную итоговую аттестацию, а также времени, отводимого на освоение учебных предметов среднего общего образования, реализуемых в пределах освоения образовательной программы среднего профессионального образования,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bookmarkStart w:id="160" w:name="P160"/>
    <w:bookmarkEnd w:id="1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квалификации "дизайнер":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художественно-конструкторских (дизайнерских) проектов промышленной продукции, предметно-пространственных комплексов;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техническое исполнение художественно-конструкторских (дизайнерских) проектов в материале;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изготовлением изделий на производстве в части соответствия их авторскому образцу;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работы коллектива исполнителей;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квалификации "дизайнер, преподаватель" (образовательная программа среднего профессионального образования в области искусств):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творческая художественно-проектная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педагогическая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60" w:tooltip="2.4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общеобразовательного, социально-гуманитарного, общего гуманитарного и социально-экономического, математического и общего естественно-научного,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квалификации "дизайнер":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квалификации "дизайнер, преподаватель":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образовательной программы должна предусматривать изучение следующих дисциплин: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квалификации "дизайнер":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общего гуманитарного и социально-экономического цикла должны предусматривать изучение следующих дисциплин: "Основы философии", "История", "Иностранный язык в профессиональной деятельности", "Психология общения", "Физическая культура";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квалификации "дизайнер, преподаватель":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социально-гуманитарного цикла образовательной программы должны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квалификации "дизайнер": "Материаловедение", "Экономика организации", "Рисунок с основами перспективы", "Живопись с основами цветоведения", "История дизайна", "История изобразительного искусства", "Безопасность жизнедеятельности".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35 академических часов; для подгрупп девушек это время может быть использовано на освоение основ медицинских знаний;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квалификации "дизайнер, преподаватель": "Рисунок", "Живопись", "История дизайна", "Черчение", "Введение в специальность", "Компьютерная графика", "Пластическая анатомия", "Перспектива".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Дополнительная работа над завершением программного задания по дисциплинам "Рисунок", "Живопись" (не более 6 академических часов в неделю) является особым видом самостоятельной работы обучающихся, проводится под руководством преподавателя, включается в расписание учебных занятий и в учебную нагрузку преподавателя. Время, отведенное для работы с живой натурой, определяется ПОП и составляет от 50 до 100 процентов от общего учебного времени, предусмотренного учебным планом.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60" w:tooltip="2.4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государственного экзамена и (или) защиты дипломного проекта (работы).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46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54.02.01 Дизайн (по отраслям) (далее соответственно - ФГОС СПО, образовательная программа, специальность) в соответствии с одной из выбранных квалификаций специалиста среднего звена &quot;дизайнер&quot;/&quot;дизайн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jc w:val="both"/>
      </w:pPr>
      <w:r>
        <w:rPr>
          <w:sz w:val="20"/>
        </w:rPr>
        <w:t xml:space="preserve">(п. 3.2 в ред. </w:t>
      </w:r>
      <w:hyperlink w:history="0" r:id="rId48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 в соответствии с квалификацией "дизайнер", должен обладать профессиональными компетенциями (далее - ПК), соответствующими видам деятельности (таблица N 3), предусмотренными </w:t>
      </w:r>
      <w:hyperlink w:history="0" w:anchor="P160" w:tooltip="2.4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7"/>
        <w:gridCol w:w="6292"/>
      </w:tblGrid>
      <w:tr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2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777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художественно-конструкторских (дизайнерских) проектов промышленной продукции, предметно-пространственных комплексов</w:t>
            </w:r>
          </w:p>
        </w:tc>
        <w:tc>
          <w:tcPr>
            <w:tcW w:w="62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Разрабатывать техническое задание согласно требованиям заказчика.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Проводить предпроектный анализ для разработки дизайн-проектов.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Осуществлять процесс дизайнерского проектирования с применением специализированных компьютерных программ.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Производить расчеты технико-экономического обоснования предлагаемого проекта.</w:t>
            </w:r>
          </w:p>
        </w:tc>
      </w:tr>
      <w:tr>
        <w:tc>
          <w:tcPr>
            <w:tcW w:w="2777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исполнение художественно-конструкторских (дизайнерских) проектов в материале</w:t>
            </w:r>
          </w:p>
        </w:tc>
        <w:tc>
          <w:tcPr>
            <w:tcW w:w="62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Разрабатывать технологическую карту изготовления изделия.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Выполнять технические чертежи.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Выполнять экспериментальные образцы объекта дизайна или его отдельные элементы в макете или материале в соответствии с техническим заданием (описанием).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Доводить опытные образцы промышленной продукции до соответствия технической документации.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Разрабатывать эталон (макет в масштабе) изделия.</w:t>
            </w:r>
          </w:p>
        </w:tc>
      </w:tr>
      <w:tr>
        <w:tc>
          <w:tcPr>
            <w:tcW w:w="2777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 за изготовлением изделий на производстве в части соответствия их авторскому образцу</w:t>
            </w:r>
          </w:p>
        </w:tc>
        <w:tc>
          <w:tcPr>
            <w:tcW w:w="62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Контролировать промышленную продукцию и предметно-пространственные комплексы на предмет соответствия требованиям стандартизации и сертификации.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комплексов.</w:t>
            </w:r>
          </w:p>
        </w:tc>
      </w:tr>
      <w:tr>
        <w:tc>
          <w:tcPr>
            <w:tcW w:w="2777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коллектива исполнителей</w:t>
            </w:r>
          </w:p>
        </w:tc>
        <w:tc>
          <w:tcPr>
            <w:tcW w:w="62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4.1. Планировать работу коллектива.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4.2. Составлять конкретные технические задания для реализации дизайн-проекта на основе технологических карт.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4.3. Контролировать сроки и качество выполненных заданий.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4.4. Осуществлять прием и сдачу работы в соответствии с техническим заданием.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Выпускник, освоивший образовательную программу в соответствии с квалификацией "дизайнер, преподаватель", должен обладать профессиональными компетенциями (далее - ПК), соответствующими видам деятельности (таблица N 4), предусмотренным </w:t>
      </w:r>
      <w:hyperlink w:history="0" w:anchor="P160" w:tooltip="2.4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4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7"/>
        <w:gridCol w:w="6292"/>
      </w:tblGrid>
      <w:tr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2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7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777" w:type="dxa"/>
          </w:tcPr>
          <w:p>
            <w:pPr>
              <w:pStyle w:val="0"/>
            </w:pPr>
            <w:r>
              <w:rPr>
                <w:sz w:val="20"/>
              </w:rPr>
              <w:t xml:space="preserve">творческая художественно-проектная деятельность</w:t>
            </w:r>
          </w:p>
        </w:tc>
        <w:tc>
          <w:tcPr>
            <w:tcW w:w="62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Изображать человека и окружающую среду визуально-графическими средствами.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Проводить работу по целевому сбору, анализу исходных данных, подготовительного материала, выполнять необходимые предпроектные исследования.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Формировать техническое задание на дизайн-проект. Выполнять поиск решения для реализации технического задания на дизайн-проект.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Использовать актуальные передовые технологии при реализации творческого замысла.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1.5. Осуществлять процесс дизайн-проектирования.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1.6. Осуществлять подготовку вывода продукта на рынок.</w:t>
            </w:r>
          </w:p>
        </w:tc>
      </w:tr>
      <w:tr>
        <w:tc>
          <w:tcPr>
            <w:tcW w:w="2777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педагогическая деятельность</w:t>
            </w:r>
          </w:p>
        </w:tc>
        <w:tc>
          <w:tcPr>
            <w:tcW w:w="62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Осуществлять преподавательскую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Использовать базовые знания в области психологии и педагогики, специальных и теоретических дисциплин в преподавательской деятельности и практический опыт по организации и анализу учебного процесса, методике подготовки и проведения урока.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Планировать процесс развития обучающихся, используя индивидуальные методы и приемы работы с учетом возрастных, психологических и физиологических особенностей обучающихся.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Устанавливать педагогически целесообразные взаимоотношения с родителями (законными представителями) обучающихся, осваивающих основную и дополнительную общеобразовательную программу, при решении задач обучения и воспитания.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2.6. Осуществлять воспитательную деятельность; проектировать и реализовывать программы воспитания.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выбранным видам деятельности, установленным в соответствии с </w:t>
      </w:r>
      <w:hyperlink w:history="0" w:anchor="P160" w:tooltip="2.4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52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Федеральный </w:t>
      </w:r>
      <w:hyperlink w:history="0" r:id="rId53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санитарные </w:t>
      </w:r>
      <w:hyperlink w:history="0" r:id="rId54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(зарегистрированы Министерством юстиции Российской Федерации 18 декабря 2020 г., регистрационный N 61573);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санитарно-эпидемиологические правила и нормы </w:t>
      </w:r>
      <w:hyperlink w:history="0" r:id="rId5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(зарегистрированы Министерством юстиции Российской Федерации 11 ноября 2020 г., регистрационный N 60833);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санитарные правила и нормы </w:t>
      </w:r>
      <w:hyperlink w:history="0" r:id="rId56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(зарегистрированы Министерством юстиции Российской Федерации 29 января 2021 г., регистрационный N 62296).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проведение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history="0" w:anchor="P90" w:tooltip="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history="0" w:anchor="P90" w:tooltip="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history="0" w:anchor="P90" w:tooltip="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60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&lt;10&gt;.</w:t>
      </w:r>
    </w:p>
    <w:p>
      <w:pPr>
        <w:pStyle w:val="0"/>
        <w:jc w:val="both"/>
      </w:pPr>
      <w:r>
        <w:rPr>
          <w:sz w:val="20"/>
        </w:rPr>
        <w:t xml:space="preserve">(п. 4.6 в ред. </w:t>
      </w:r>
      <w:hyperlink w:history="0" r:id="rId61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Бюджетный </w:t>
      </w:r>
      <w:hyperlink w:history="0" r:id="rId62" w:tooltip="&quot;Бюджетный кодекс Российской Федерации&quot; от 31.07.1998 N 145-ФЗ (ред. от 28.12.2025, с изм. от 31.03.2026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1998, N 31, ст. 3823; 2022, N 29, ст. 5305).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Собрание законодательства Российской Федерации, 2012, N 53, ст. 7598; 2022, N 29, ст. 5262.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6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05.05.2022 N 308</w:t>
            <w:br/>
            <w:t>(ред. от 03.07.2024)</w:t>
            <w:br/>
            <w:t>"Об утверждении федерального государственного обра...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28629&amp;dst=105686" TargetMode = "External"/><Relationship Id="rId9" Type="http://schemas.openxmlformats.org/officeDocument/2006/relationships/hyperlink" Target="https://login.consultant.ru/link/?req=doc&amp;base=RZR&amp;n=483090&amp;dst=109899" TargetMode = "External"/><Relationship Id="rId10" Type="http://schemas.openxmlformats.org/officeDocument/2006/relationships/hyperlink" Target="https://login.consultant.ru/link/?req=doc&amp;base=RZR&amp;n=532819&amp;dst=100051" TargetMode = "External"/><Relationship Id="rId11" Type="http://schemas.openxmlformats.org/officeDocument/2006/relationships/hyperlink" Target="https://login.consultant.ru/link/?req=doc&amp;base=RZR&amp;n=481262&amp;dst=100072" TargetMode = "External"/><Relationship Id="rId12" Type="http://schemas.openxmlformats.org/officeDocument/2006/relationships/hyperlink" Target="https://login.consultant.ru/link/?req=doc&amp;base=RZR&amp;n=372993&amp;dst=100013" TargetMode = "External"/><Relationship Id="rId13" Type="http://schemas.openxmlformats.org/officeDocument/2006/relationships/hyperlink" Target="https://login.consultant.ru/link/?req=doc&amp;base=RZR&amp;n=377712&amp;dst=101740" TargetMode = "External"/><Relationship Id="rId14" Type="http://schemas.openxmlformats.org/officeDocument/2006/relationships/hyperlink" Target="https://login.consultant.ru/link/?req=doc&amp;base=RZR&amp;n=530300&amp;dst=101302" TargetMode = "External"/><Relationship Id="rId15" Type="http://schemas.openxmlformats.org/officeDocument/2006/relationships/hyperlink" Target="https://login.consultant.ru/link/?req=doc&amp;base=RZR&amp;n=411930" TargetMode = "External"/><Relationship Id="rId16" Type="http://schemas.openxmlformats.org/officeDocument/2006/relationships/hyperlink" Target="https://login.consultant.ru/link/?req=doc&amp;base=RZR&amp;n=428629&amp;dst=105686" TargetMode = "External"/><Relationship Id="rId17" Type="http://schemas.openxmlformats.org/officeDocument/2006/relationships/hyperlink" Target="https://login.consultant.ru/link/?req=doc&amp;base=RZR&amp;n=483090&amp;dst=109899" TargetMode = "External"/><Relationship Id="rId18" Type="http://schemas.openxmlformats.org/officeDocument/2006/relationships/hyperlink" Target="https://login.consultant.ru/link/?req=doc&amp;base=RZR&amp;n=530300&amp;dst=101302" TargetMode = "External"/><Relationship Id="rId19" Type="http://schemas.openxmlformats.org/officeDocument/2006/relationships/hyperlink" Target="https://login.consultant.ru/link/?req=doc&amp;base=RZR&amp;n=530300&amp;dst=100562" TargetMode = "External"/><Relationship Id="rId20" Type="http://schemas.openxmlformats.org/officeDocument/2006/relationships/hyperlink" Target="https://login.consultant.ru/link/?req=doc&amp;base=RZR&amp;n=501142&amp;dst=4" TargetMode = "External"/><Relationship Id="rId21" Type="http://schemas.openxmlformats.org/officeDocument/2006/relationships/hyperlink" Target="https://login.consultant.ru/link/?req=doc&amp;base=RZR&amp;n=483090&amp;dst=109900" TargetMode = "External"/><Relationship Id="rId22" Type="http://schemas.openxmlformats.org/officeDocument/2006/relationships/hyperlink" Target="https://login.consultant.ru/link/?req=doc&amp;base=RZR&amp;n=501142&amp;dst=4" TargetMode = "External"/><Relationship Id="rId23" Type="http://schemas.openxmlformats.org/officeDocument/2006/relationships/hyperlink" Target="https://login.consultant.ru/link/?req=doc&amp;base=RZR&amp;n=483090&amp;dst=109901" TargetMode = "External"/><Relationship Id="rId24" Type="http://schemas.openxmlformats.org/officeDocument/2006/relationships/hyperlink" Target="https://login.consultant.ru/link/?req=doc&amp;base=RZR&amp;n=483090&amp;dst=109902" TargetMode = "External"/><Relationship Id="rId25" Type="http://schemas.openxmlformats.org/officeDocument/2006/relationships/hyperlink" Target="https://login.consultant.ru/link/?req=doc&amp;base=RZR&amp;n=532901&amp;dst=446" TargetMode = "External"/><Relationship Id="rId26" Type="http://schemas.openxmlformats.org/officeDocument/2006/relationships/hyperlink" Target="https://login.consultant.ru/link/?req=doc&amp;base=RZR&amp;n=532901&amp;dst=100249" TargetMode = "External"/><Relationship Id="rId27" Type="http://schemas.openxmlformats.org/officeDocument/2006/relationships/hyperlink" Target="https://login.consultant.ru/link/?req=doc&amp;base=RZR&amp;n=483090&amp;dst=109903" TargetMode = "External"/><Relationship Id="rId28" Type="http://schemas.openxmlformats.org/officeDocument/2006/relationships/hyperlink" Target="https://login.consultant.ru/link/?req=doc&amp;base=RZR&amp;n=411930&amp;dst=100030" TargetMode = "External"/><Relationship Id="rId29" Type="http://schemas.openxmlformats.org/officeDocument/2006/relationships/hyperlink" Target="https://login.consultant.ru/link/?req=doc&amp;base=RZR&amp;n=214720&amp;dst=100068" TargetMode = "External"/><Relationship Id="rId30" Type="http://schemas.openxmlformats.org/officeDocument/2006/relationships/hyperlink" Target="https://login.consultant.ru/link/?req=doc&amp;base=RZR&amp;n=214720&amp;dst=100070" TargetMode = "External"/><Relationship Id="rId31" Type="http://schemas.openxmlformats.org/officeDocument/2006/relationships/hyperlink" Target="https://login.consultant.ru/link/?req=doc&amp;base=RZR&amp;n=214720&amp;dst=100090" TargetMode = "External"/><Relationship Id="rId32" Type="http://schemas.openxmlformats.org/officeDocument/2006/relationships/hyperlink" Target="https://login.consultant.ru/link/?req=doc&amp;base=RZR&amp;n=214720&amp;dst=100114" TargetMode = "External"/><Relationship Id="rId33" Type="http://schemas.openxmlformats.org/officeDocument/2006/relationships/hyperlink" Target="https://login.consultant.ru/link/?req=doc&amp;base=RZR&amp;n=214720&amp;dst=100050" TargetMode = "External"/><Relationship Id="rId34" Type="http://schemas.openxmlformats.org/officeDocument/2006/relationships/hyperlink" Target="https://login.consultant.ru/link/?req=doc&amp;base=RZR&amp;n=214720&amp;dst=100056" TargetMode = "External"/><Relationship Id="rId35" Type="http://schemas.openxmlformats.org/officeDocument/2006/relationships/hyperlink" Target="https://login.consultant.ru/link/?req=doc&amp;base=RZR&amp;n=214720&amp;dst=100070" TargetMode = "External"/><Relationship Id="rId36" Type="http://schemas.openxmlformats.org/officeDocument/2006/relationships/hyperlink" Target="https://login.consultant.ru/link/?req=doc&amp;base=RZR&amp;n=214720&amp;dst=100047" TargetMode = "External"/><Relationship Id="rId37" Type="http://schemas.openxmlformats.org/officeDocument/2006/relationships/hyperlink" Target="https://login.consultant.ru/link/?req=doc&amp;base=RZR&amp;n=483090&amp;dst=109904" TargetMode = "External"/><Relationship Id="rId38" Type="http://schemas.openxmlformats.org/officeDocument/2006/relationships/hyperlink" Target="https://login.consultant.ru/link/?req=doc&amp;base=RZR&amp;n=483090&amp;dst=109906" TargetMode = "External"/><Relationship Id="rId39" Type="http://schemas.openxmlformats.org/officeDocument/2006/relationships/hyperlink" Target="https://login.consultant.ru/link/?req=doc&amp;base=RZR&amp;n=483090&amp;dst=109916" TargetMode = "External"/><Relationship Id="rId40" Type="http://schemas.openxmlformats.org/officeDocument/2006/relationships/hyperlink" Target="https://login.consultant.ru/link/?req=doc&amp;base=RZR&amp;n=483090&amp;dst=109926" TargetMode = "External"/><Relationship Id="rId41" Type="http://schemas.openxmlformats.org/officeDocument/2006/relationships/hyperlink" Target="https://login.consultant.ru/link/?req=doc&amp;base=RZR&amp;n=483090&amp;dst=109928" TargetMode = "External"/><Relationship Id="rId42" Type="http://schemas.openxmlformats.org/officeDocument/2006/relationships/hyperlink" Target="https://login.consultant.ru/link/?req=doc&amp;base=RZR&amp;n=483090&amp;dst=109931" TargetMode = "External"/><Relationship Id="rId43" Type="http://schemas.openxmlformats.org/officeDocument/2006/relationships/hyperlink" Target="https://login.consultant.ru/link/?req=doc&amp;base=RZR&amp;n=483090&amp;dst=109933" TargetMode = "External"/><Relationship Id="rId44" Type="http://schemas.openxmlformats.org/officeDocument/2006/relationships/hyperlink" Target="https://login.consultant.ru/link/?req=doc&amp;base=RZR&amp;n=483090&amp;dst=109935" TargetMode = "External"/><Relationship Id="rId45" Type="http://schemas.openxmlformats.org/officeDocument/2006/relationships/hyperlink" Target="https://login.consultant.ru/link/?req=doc&amp;base=RZR&amp;n=483090&amp;dst=109936" TargetMode = "External"/><Relationship Id="rId46" Type="http://schemas.openxmlformats.org/officeDocument/2006/relationships/hyperlink" Target="https://login.consultant.ru/link/?req=doc&amp;base=RZR&amp;n=483090&amp;dst=109938" TargetMode = "External"/><Relationship Id="rId47" Type="http://schemas.openxmlformats.org/officeDocument/2006/relationships/hyperlink" Target="https://login.consultant.ru/link/?req=doc&amp;base=RZR&amp;n=483090&amp;dst=109939" TargetMode = "External"/><Relationship Id="rId48" Type="http://schemas.openxmlformats.org/officeDocument/2006/relationships/hyperlink" Target="https://login.consultant.ru/link/?req=doc&amp;base=RZR&amp;n=428629&amp;dst=105687" TargetMode = "External"/><Relationship Id="rId49" Type="http://schemas.openxmlformats.org/officeDocument/2006/relationships/hyperlink" Target="https://login.consultant.ru/link/?req=doc&amp;base=RZR&amp;n=483090&amp;dst=109941" TargetMode = "External"/><Relationship Id="rId50" Type="http://schemas.openxmlformats.org/officeDocument/2006/relationships/hyperlink" Target="https://login.consultant.ru/link/?req=doc&amp;base=RZR&amp;n=483090&amp;dst=109942" TargetMode = "External"/><Relationship Id="rId51" Type="http://schemas.openxmlformats.org/officeDocument/2006/relationships/hyperlink" Target="https://login.consultant.ru/link/?req=doc&amp;base=RZR&amp;n=483090&amp;dst=109943" TargetMode = "External"/><Relationship Id="rId52" Type="http://schemas.openxmlformats.org/officeDocument/2006/relationships/hyperlink" Target="https://login.consultant.ru/link/?req=doc&amp;base=RZR&amp;n=532901&amp;dst=415" TargetMode = "External"/><Relationship Id="rId53" Type="http://schemas.openxmlformats.org/officeDocument/2006/relationships/hyperlink" Target="https://login.consultant.ru/link/?req=doc&amp;base=RZR&amp;n=511660" TargetMode = "External"/><Relationship Id="rId54" Type="http://schemas.openxmlformats.org/officeDocument/2006/relationships/hyperlink" Target="https://login.consultant.ru/link/?req=doc&amp;base=RZR&amp;n=522968&amp;dst=100047" TargetMode = "External"/><Relationship Id="rId55" Type="http://schemas.openxmlformats.org/officeDocument/2006/relationships/hyperlink" Target="https://login.consultant.ru/link/?req=doc&amp;base=RZR&amp;n=494597&amp;dst=100037" TargetMode = "External"/><Relationship Id="rId56" Type="http://schemas.openxmlformats.org/officeDocument/2006/relationships/hyperlink" Target="https://login.consultant.ru/link/?req=doc&amp;base=RZR&amp;n=517341&amp;dst=100137" TargetMode = "External"/><Relationship Id="rId57" Type="http://schemas.openxmlformats.org/officeDocument/2006/relationships/hyperlink" Target="https://login.consultant.ru/link/?req=doc&amp;base=RZR&amp;n=483090&amp;dst=109944" TargetMode = "External"/><Relationship Id="rId58" Type="http://schemas.openxmlformats.org/officeDocument/2006/relationships/hyperlink" Target="https://login.consultant.ru/link/?req=doc&amp;base=RZR&amp;n=483090&amp;dst=109946" TargetMode = "External"/><Relationship Id="rId59" Type="http://schemas.openxmlformats.org/officeDocument/2006/relationships/hyperlink" Target="https://login.consultant.ru/link/?req=doc&amp;base=RZR&amp;n=483090&amp;dst=109947" TargetMode = "External"/><Relationship Id="rId60" Type="http://schemas.openxmlformats.org/officeDocument/2006/relationships/hyperlink" Target="https://login.consultant.ru/link/?req=doc&amp;base=RZR&amp;n=532901" TargetMode = "External"/><Relationship Id="rId61" Type="http://schemas.openxmlformats.org/officeDocument/2006/relationships/hyperlink" Target="https://login.consultant.ru/link/?req=doc&amp;base=RZR&amp;n=428629&amp;dst=105698" TargetMode = "External"/><Relationship Id="rId62" Type="http://schemas.openxmlformats.org/officeDocument/2006/relationships/hyperlink" Target="https://login.consultant.ru/link/?req=doc&amp;base=RZR&amp;n=495710" TargetMode = "External"/><Relationship Id="rId63" Type="http://schemas.openxmlformats.org/officeDocument/2006/relationships/hyperlink" Target="https://login.consultant.ru/link/?req=doc&amp;base=RZR&amp;n=483090&amp;dst=10994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05.05.2022 N 308
(ред. от 03.07.2024)
"Об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отраслям)"
(Зарегистрировано в Минюсте России 25.07.2022 N 69375)</dc:title>
  <dcterms:created xsi:type="dcterms:W3CDTF">2026-06-05T08:13:36Z</dcterms:created>
</cp:coreProperties>
</file>