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13.08.2020 N 1015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54.03.01 Дизайн"</w:t>
              <w:br/>
              <w:t xml:space="preserve">(Зарегистрировано в Минюсте России 27.08.2020 N 59498)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27 августа 2020 г. N 59498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13 августа 2020 г. N 1015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54.03.01 ДИЗАЙН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54.03.01 Дизайн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1.08.2016 N 1004 &quot;Об утверждении федерального государственного образовательного стандарта высшего образования по направлению подготовки 54.03.01 Дизайн (уровень бакалавриата)&quot; (Зарегистрировано в Минюсте России 25.08.2016 N 4340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54.03.01 Дизайн (уровень бакалавриата), утвержденным приказом Министерства образования и науки Российской Федерации от 11 августа 2016 г. N 1004 (зарегистрирован Министерством юстиции Российской Федерации 25 августа 2016 г., регистрационный N 43405),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августа 2020 г. N 1015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54.03.01 ДИЗАЙН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54.03.01 Дизайн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 и очно-заочной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16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4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8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дошкольного, начального общего, основного общего образования, профессионального образования, дополнительного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04</w:t>
        </w:r>
      </w:hyperlink>
      <w:r>
        <w:rPr>
          <w:sz w:val="20"/>
        </w:rPr>
        <w:t xml:space="preserve"> Культура, искусство (в сферах: дизайна; культурно-просветительской и художественно-творческой деятельности; изобразительного искусства);</w:t>
      </w:r>
    </w:p>
    <w:p>
      <w:pPr>
        <w:pStyle w:val="0"/>
        <w:spacing w:before="200" w:lineRule="auto"/>
        <w:ind w:firstLine="540"/>
        <w:jc w:val="both"/>
      </w:pP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Архитектура, проектирование, геодезия, топография и дизайн (в сфере дизайна);</w:t>
      </w:r>
    </w:p>
    <w:p>
      <w:pPr>
        <w:pStyle w:val="0"/>
        <w:spacing w:before="200" w:lineRule="auto"/>
        <w:ind w:firstLine="540"/>
        <w:jc w:val="both"/>
      </w:pP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Средства массовой информации, издательство и полиграфия (в сфере дизайна);</w:t>
      </w:r>
    </w:p>
    <w:p>
      <w:pPr>
        <w:pStyle w:val="0"/>
        <w:spacing w:before="200" w:lineRule="auto"/>
        <w:ind w:firstLine="540"/>
        <w:jc w:val="both"/>
      </w:pPr>
      <w:hyperlink w:history="0"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Легкая и текстильная промышленность (в сфере дизайна);</w:t>
      </w:r>
    </w:p>
    <w:p>
      <w:pPr>
        <w:pStyle w:val="0"/>
        <w:spacing w:before="200" w:lineRule="auto"/>
        <w:ind w:firstLine="540"/>
        <w:jc w:val="both"/>
      </w:pPr>
      <w:hyperlink w:history="0"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 Автомобилестроение (в сфере дизайна);</w:t>
      </w:r>
    </w:p>
    <w:p>
      <w:pPr>
        <w:pStyle w:val="0"/>
        <w:spacing w:before="200" w:lineRule="auto"/>
        <w:ind w:firstLine="540"/>
        <w:jc w:val="both"/>
      </w:pPr>
      <w:hyperlink w:history="0" r:id="rId2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(в сфере дизайна).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художественный;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14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7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4309"/>
        <w:gridCol w:w="3628"/>
      </w:tblGrid>
      <w:tr>
        <w:tc>
          <w:tcPr>
            <w:gridSpan w:val="2"/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134" w:type="dxa"/>
            <w:vAlign w:val="center"/>
          </w:tcPr>
          <w:bookmarkStart w:id="111" w:name="P111"/>
          <w:bookmarkEnd w:id="11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180</w:t>
            </w:r>
          </w:p>
        </w:tc>
      </w:tr>
      <w:tr>
        <w:tc>
          <w:tcPr>
            <w:tcW w:w="1134" w:type="dxa"/>
            <w:vAlign w:val="center"/>
          </w:tcPr>
          <w:bookmarkStart w:id="114" w:name="P114"/>
          <w:bookmarkEnd w:id="114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30</w:t>
            </w:r>
          </w:p>
        </w:tc>
      </w:tr>
      <w:tr>
        <w:tc>
          <w:tcPr>
            <w:tcW w:w="1134" w:type="dxa"/>
            <w:vAlign w:val="center"/>
          </w:tcPr>
          <w:bookmarkStart w:id="117" w:name="P117"/>
          <w:bookmarkEnd w:id="117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443" w:type="dxa"/>
            <w:vAlign w:val="center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23" w:name="P123"/>
    <w:bookmarkEnd w:id="123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11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форме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7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11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14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31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31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7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23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11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Реализация части (частей) программы бакалавриата, направленной (направленных) на подготовку выпускников к творческой профессиональной деятельности, и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При реализации программы бакалавриата аудиторная контактная работа предусматривает групповую работу обучающихся с преподавателем (в группах численностью от двух человек) и индивидуальную работу обучающихся с преподавателем.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30 процентов, в очно-заочной форме обучения - от 10 процентов до 20 процентов общего объема времени, отводимого на реализацию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43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63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Профессиональная ориентация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Научные исследования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Методы творческого процесса дизайнеров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Создание авторского дизайн-проекта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Организаторская деятельность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</w:tr>
      <w:tr>
        <w:tblPrEx>
          <w:tblBorders>
            <w:insideH w:val="nil"/>
          </w:tblBorders>
        </w:tblPrEx>
        <w:tc>
          <w:tcPr>
            <w:tcW w:w="243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Информационно-коммуникационные технологии</w:t>
            </w:r>
          </w:p>
        </w:tc>
        <w:tc>
          <w:tcPr>
            <w:tcW w:w="663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Педагогическая деятельность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культурная политика</w:t>
            </w:r>
          </w:p>
        </w:tc>
        <w:tc>
          <w:tcPr>
            <w:tcW w:w="6633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ОПК-8. Способен ориентироваться в проблематике современной культурной политики Российской Федерации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94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30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&lt;4&gt;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32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73" w:tooltip="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85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11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7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Федеральный </w:t>
      </w:r>
      <w:hyperlink w:history="0" r:id="rId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закон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5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</w:t>
      </w:r>
    </w:p>
    <w:p>
      <w:pPr>
        <w:pStyle w:val="0"/>
        <w:jc w:val="right"/>
      </w:pPr>
      <w:r>
        <w:rPr>
          <w:sz w:val="20"/>
        </w:rPr>
        <w:t xml:space="preserve">высшего 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 54.03.01</w:t>
      </w:r>
    </w:p>
    <w:p>
      <w:pPr>
        <w:pStyle w:val="0"/>
        <w:jc w:val="right"/>
      </w:pPr>
      <w:r>
        <w:rPr>
          <w:sz w:val="20"/>
        </w:rPr>
        <w:t xml:space="preserve">Дизайн,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августа 2019 г. N 1015</w:t>
      </w:r>
    </w:p>
    <w:p>
      <w:pPr>
        <w:pStyle w:val="0"/>
        <w:jc w:val="both"/>
      </w:pPr>
      <w:r>
        <w:rPr>
          <w:sz w:val="20"/>
        </w:rPr>
      </w:r>
    </w:p>
    <w:bookmarkStart w:id="294" w:name="P294"/>
    <w:bookmarkEnd w:id="29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54.03.01 ДИЗАЙН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247"/>
        <w:gridCol w:w="7370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73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 Образование и наука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01.001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01.003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>
        <w:tc>
          <w:tcPr>
            <w:gridSpan w:val="3"/>
            <w:tcW w:w="9071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 Средства массовой информации, издательство и полиграфия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11.013</w:t>
            </w:r>
          </w:p>
        </w:tc>
        <w:tc>
          <w:tcPr>
            <w:tcW w:w="737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7.01.2017 N 40н &quot;Об утверждении профессионального стандарта &quot;Графический дизайнер&quot; (Зарегистрировано в Минюсте России 27.01.2017 N 4544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"Графический дизайнер", утвержденный приказом Министерства труда и социальной защиты Российской Федерации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  <w:tr>
        <w:tc>
          <w:tcPr>
            <w:gridSpan w:val="3"/>
            <w:tcW w:w="9071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21 Легкая и текстильная промышленность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21.001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18.11.2014 N 892н (ред. от 12.12.2016) &quot;Об утверждении профессионального стандарта &quot;Дизайнер детской игровой среды и продукции&quot; (Зарегистрировано в Минюсте России 09.12.2014 N 35113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"Дизайнер детской игровой среды и продукции", утвержденный приказом Министерства труда и социальной защиты Российской Федерации от 18 ноября 2014 г. N 892н (зарегистрирован Министерством юстиции Российской Федерации 9 декабря 2014 г., регистрационный N 35113),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21.002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04.12.2014 N 974н (ред. от 12.12.2016) &quot;Об утверждении профессионального стандарта &quot;Дизайнер детской одежды и обуви&quot; (Зарегистрировано в Минюсте России 17.12.2014 N 3525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"Дизайнер детской одежды и обуви", утвержденный приказом Министерства труда и социальной защиты Российской Федерации от 4 декабря 2014 г. N 974н (зарегистрирован Министерством юстиции Российской Федерации 17 декабря 2014 г., регистрационный N 35251),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gridSpan w:val="3"/>
            <w:tcW w:w="9071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31 Автомобилестроение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31.006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28.10.2014 N 813н &quot;Об утверждении профессионального стандарта &quot;Дизайнер автомобилестроения&quot; (Зарегистрировано в Минюсте России 26.11.2014 N 3494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"Дизайнер автомобилестроения", утвержденный приказом Министерства труда и социальной защиты Российской Федерации 28 октября 2014 г. N 813н (зарегистрирован Министерством юстиции Российской Федерации 26 ноября 2014 г., регистрационный N 34948)</w:t>
            </w:r>
          </w:p>
        </w:tc>
      </w:tr>
      <w:tr>
        <w:tc>
          <w:tcPr>
            <w:gridSpan w:val="3"/>
            <w:tcW w:w="9071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в промышленности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40.059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18.11.2014 N 894н (ред. от 12.12.2016) &quot;Об утверждении профессионального стандарта &quot;Промышленный дизайнер (эргономист)&quot; (Зарегистрировано в Минюсте России 16.12.2014 N 3518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"Промышленный дизайнер (эргономист)", утвержденный приказом Министерства труда и социальной защиты Российской Федерации от 18 ноября 2014 г. N 894н (зарегистрирован Министерством юстиции Российской Федерации 16 декабря 2014 г., регистрационный N 35189),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40.137</w:t>
            </w:r>
          </w:p>
        </w:tc>
        <w:tc>
          <w:tcPr>
            <w:tcW w:w="7370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29.12.2015 N 1174н &quot;Об утверждении профессионального стандарта &quot;Дизайнер транспортных средств&quot; (Зарегистрировано в Минюсте России 28.01.2016 N 4085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"Дизайнер транспортных средств", утвержденный приказом Министерства труда и социальной защиты Российской Федерации от 29 декабря 2015 г. N 1174н (зарегистрирован Министерством юстиции Российской Федерации 28 января 2016 г., регистрационный N 40850)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13.08.2020 N 1015</w:t>
            <w:br/>
            <w:t>(ред. от 27.02.2023)</w:t>
            <w:br/>
            <w:t>"Об утверждении федерального государственного образо...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3516" TargetMode = "External"/><Relationship Id="rId9" Type="http://schemas.openxmlformats.org/officeDocument/2006/relationships/hyperlink" Target="https://login.consultant.ru/link/?req=doc&amp;base=RZR&amp;n=428382&amp;dst=100725" TargetMode = "External"/><Relationship Id="rId10" Type="http://schemas.openxmlformats.org/officeDocument/2006/relationships/hyperlink" Target="https://login.consultant.ru/link/?req=doc&amp;base=RZR&amp;n=443783&amp;dst=101624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203978&amp;dst=100013" TargetMode = "External"/><Relationship Id="rId14" Type="http://schemas.openxmlformats.org/officeDocument/2006/relationships/hyperlink" Target="https://login.consultant.ru/link/?req=doc&amp;base=RZR&amp;n=385079&amp;dst=103516" TargetMode = "External"/><Relationship Id="rId15" Type="http://schemas.openxmlformats.org/officeDocument/2006/relationships/hyperlink" Target="https://login.consultant.ru/link/?req=doc&amp;base=RZR&amp;n=428382&amp;dst=100725" TargetMode = "External"/><Relationship Id="rId16" Type="http://schemas.openxmlformats.org/officeDocument/2006/relationships/hyperlink" Target="https://login.consultant.ru/link/?req=doc&amp;base=RZR&amp;n=443783&amp;dst=101624" TargetMode = "External"/><Relationship Id="rId17" Type="http://schemas.openxmlformats.org/officeDocument/2006/relationships/hyperlink" Target="https://login.consultant.ru/link/?req=doc&amp;base=RZR&amp;n=532901&amp;dst=217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s://login.consultant.ru/link/?req=doc&amp;base=RZR&amp;n=214720&amp;dst=100047" TargetMode = "External"/><Relationship Id="rId20" Type="http://schemas.openxmlformats.org/officeDocument/2006/relationships/hyperlink" Target="https://login.consultant.ru/link/?req=doc&amp;base=RZR&amp;n=214720&amp;dst=100050" TargetMode = "External"/><Relationship Id="rId21" Type="http://schemas.openxmlformats.org/officeDocument/2006/relationships/hyperlink" Target="https://login.consultant.ru/link/?req=doc&amp;base=RZR&amp;n=214720&amp;dst=100056" TargetMode = "External"/><Relationship Id="rId22" Type="http://schemas.openxmlformats.org/officeDocument/2006/relationships/hyperlink" Target="https://login.consultant.ru/link/?req=doc&amp;base=RZR&amp;n=214720&amp;dst=100068" TargetMode = "External"/><Relationship Id="rId23" Type="http://schemas.openxmlformats.org/officeDocument/2006/relationships/hyperlink" Target="https://login.consultant.ru/link/?req=doc&amp;base=RZR&amp;n=214720&amp;dst=100070" TargetMode = "External"/><Relationship Id="rId24" Type="http://schemas.openxmlformats.org/officeDocument/2006/relationships/hyperlink" Target="https://login.consultant.ru/link/?req=doc&amp;base=RZR&amp;n=214720&amp;dst=100090" TargetMode = "External"/><Relationship Id="rId25" Type="http://schemas.openxmlformats.org/officeDocument/2006/relationships/hyperlink" Target="https://login.consultant.ru/link/?req=doc&amp;base=RZR&amp;n=214720&amp;dst=100110" TargetMode = "External"/><Relationship Id="rId26" Type="http://schemas.openxmlformats.org/officeDocument/2006/relationships/hyperlink" Target="https://login.consultant.ru/link/?req=doc&amp;base=RZR&amp;n=214720&amp;dst=100116" TargetMode = "External"/><Relationship Id="rId27" Type="http://schemas.openxmlformats.org/officeDocument/2006/relationships/hyperlink" Target="https://login.consultant.ru/link/?req=doc&amp;base=RZR&amp;n=428382&amp;dst=100725" TargetMode = "External"/><Relationship Id="rId28" Type="http://schemas.openxmlformats.org/officeDocument/2006/relationships/hyperlink" Target="https://login.consultant.ru/link/?req=doc&amp;base=RZR&amp;n=443783&amp;dst=101624" TargetMode = "External"/><Relationship Id="rId29" Type="http://schemas.openxmlformats.org/officeDocument/2006/relationships/hyperlink" Target="https://login.consultant.ru/link/?req=doc&amp;base=RZR&amp;n=385079&amp;dst=103520" TargetMode = "External"/><Relationship Id="rId30" Type="http://schemas.openxmlformats.org/officeDocument/2006/relationships/hyperlink" Target="http://profstandart.rosmintrud.ru" TargetMode = "External"/><Relationship Id="rId31" Type="http://schemas.openxmlformats.org/officeDocument/2006/relationships/hyperlink" Target="https://login.consultant.ru/link/?req=doc&amp;base=RZR&amp;n=214720&amp;dst=100006" TargetMode = "External"/><Relationship Id="rId32" Type="http://schemas.openxmlformats.org/officeDocument/2006/relationships/hyperlink" Target="https://login.consultant.ru/link/?req=doc&amp;base=RZR&amp;n=146970" TargetMode = "External"/><Relationship Id="rId33" Type="http://schemas.openxmlformats.org/officeDocument/2006/relationships/hyperlink" Target="https://login.consultant.ru/link/?req=doc&amp;base=RZR&amp;n=511583" TargetMode = "External"/><Relationship Id="rId34" Type="http://schemas.openxmlformats.org/officeDocument/2006/relationships/hyperlink" Target="https://login.consultant.ru/link/?req=doc&amp;base=RZR&amp;n=385079&amp;dst=103517" TargetMode = "External"/><Relationship Id="rId35" Type="http://schemas.openxmlformats.org/officeDocument/2006/relationships/hyperlink" Target="https://login.consultant.ru/link/?req=doc&amp;base=RZR&amp;n=521255&amp;dst=100947" TargetMode = "External"/><Relationship Id="rId36" Type="http://schemas.openxmlformats.org/officeDocument/2006/relationships/hyperlink" Target="https://login.consultant.ru/link/?req=doc&amp;base=RZR&amp;n=203805&amp;dst=100010" TargetMode = "External"/><Relationship Id="rId37" Type="http://schemas.openxmlformats.org/officeDocument/2006/relationships/hyperlink" Target="https://login.consultant.ru/link/?req=doc&amp;base=RZR&amp;n=305809&amp;dst=100010" TargetMode = "External"/><Relationship Id="rId38" Type="http://schemas.openxmlformats.org/officeDocument/2006/relationships/hyperlink" Target="https://login.consultant.ru/link/?req=doc&amp;base=RZR&amp;n=212123&amp;dst=100009" TargetMode = "External"/><Relationship Id="rId39" Type="http://schemas.openxmlformats.org/officeDocument/2006/relationships/hyperlink" Target="https://login.consultant.ru/link/?req=doc&amp;base=RZR&amp;n=211624&amp;dst=100009" TargetMode = "External"/><Relationship Id="rId40" Type="http://schemas.openxmlformats.org/officeDocument/2006/relationships/hyperlink" Target="https://login.consultant.ru/link/?req=doc&amp;base=RZR&amp;n=211497&amp;dst=100009" TargetMode = "External"/><Relationship Id="rId41" Type="http://schemas.openxmlformats.org/officeDocument/2006/relationships/hyperlink" Target="https://login.consultant.ru/link/?req=doc&amp;base=RZR&amp;n=126387&amp;dst=100009" TargetMode = "External"/><Relationship Id="rId42" Type="http://schemas.openxmlformats.org/officeDocument/2006/relationships/hyperlink" Target="https://login.consultant.ru/link/?req=doc&amp;base=RZR&amp;n=211622&amp;dst=100010" TargetMode = "External"/><Relationship Id="rId43" Type="http://schemas.openxmlformats.org/officeDocument/2006/relationships/hyperlink" Target="https://login.consultant.ru/link/?req=doc&amp;base=RZR&amp;n=193898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13.08.2020 N 1015
(ред. от 27.02.2023)
"Об утверждении федерального государственного образовательного стандарта высшего образования - бакалавриат по направлению подготовки 54.03.01 Дизайн"
(Зарегистрировано в Минюсте России 27.08.2020 N 59498)</dc:title>
  <dcterms:created xsi:type="dcterms:W3CDTF">2026-06-05T08:27:25Z</dcterms:created>
</cp:coreProperties>
</file>